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48D06" w14:textId="1D734338" w:rsidR="0017662A" w:rsidRPr="00131A41" w:rsidRDefault="00131A41" w:rsidP="00131A41">
      <w:pPr>
        <w:jc w:val="center"/>
        <w:rPr>
          <w:b/>
          <w:bCs/>
          <w:iCs/>
          <w:lang w:val="bg-BG"/>
        </w:rPr>
      </w:pPr>
      <w:bookmarkStart w:id="0" w:name="_GoBack"/>
      <w:bookmarkEnd w:id="0"/>
      <w:r w:rsidRPr="00131A41">
        <w:rPr>
          <w:b/>
          <w:bCs/>
          <w:iCs/>
          <w:lang w:val="bg-BG"/>
        </w:rPr>
        <w:t>ИСКАНЕ ЗА ОЦЕНКА НА ИКОНОМИЧЕСКОТО РАВНОВЕСИЕ</w:t>
      </w:r>
    </w:p>
    <w:p w14:paraId="1DFC11F5" w14:textId="77777777" w:rsidR="00131A41" w:rsidRPr="00F45E12" w:rsidRDefault="00131A41" w:rsidP="0017662A">
      <w:pPr>
        <w:jc w:val="both"/>
        <w:rPr>
          <w:i/>
          <w:sz w:val="22"/>
          <w:szCs w:val="22"/>
          <w:lang w:val="bg-BG"/>
        </w:rPr>
      </w:pPr>
    </w:p>
    <w:p w14:paraId="2A245CFA" w14:textId="2DC4950B" w:rsidR="00516A58" w:rsidRPr="00396A40" w:rsidRDefault="00516A58" w:rsidP="00516A58">
      <w:pPr>
        <w:pStyle w:val="Default"/>
        <w:jc w:val="both"/>
        <w:rPr>
          <w:strike/>
          <w:sz w:val="20"/>
          <w:szCs w:val="20"/>
          <w:lang w:val="bg-BG"/>
        </w:rPr>
      </w:pPr>
      <w:r w:rsidRPr="005000E2">
        <w:rPr>
          <w:sz w:val="20"/>
          <w:szCs w:val="20"/>
          <w:lang w:val="bg-BG"/>
        </w:rPr>
        <w:t xml:space="preserve">Настоящият образец се попълва в </w:t>
      </w:r>
      <w:r w:rsidRPr="00131A41">
        <w:rPr>
          <w:sz w:val="20"/>
          <w:szCs w:val="20"/>
          <w:lang w:val="bg-BG"/>
        </w:rPr>
        <w:t>изпълнение</w:t>
      </w:r>
      <w:r w:rsidRPr="005000E2">
        <w:rPr>
          <w:sz w:val="20"/>
          <w:szCs w:val="20"/>
          <w:lang w:val="bg-BG"/>
        </w:rPr>
        <w:t xml:space="preserve"> на</w:t>
      </w:r>
      <w:r>
        <w:rPr>
          <w:b/>
          <w:bCs/>
          <w:sz w:val="20"/>
          <w:szCs w:val="20"/>
          <w:lang w:val="bg-BG"/>
        </w:rPr>
        <w:t xml:space="preserve"> </w:t>
      </w:r>
      <w:r w:rsidRPr="001F565B">
        <w:rPr>
          <w:b/>
          <w:bCs/>
          <w:sz w:val="20"/>
          <w:szCs w:val="20"/>
          <w:lang w:val="bg-BG"/>
        </w:rPr>
        <w:t>РЕГЛАМЕНТ ЗА ИЗПЪЛНЕНИЕ (ЕС) 2018/1795 НА КОМИСИЯТА</w:t>
      </w:r>
      <w:r>
        <w:rPr>
          <w:b/>
          <w:bCs/>
          <w:sz w:val="20"/>
          <w:szCs w:val="20"/>
          <w:lang w:val="bg-BG"/>
        </w:rPr>
        <w:t xml:space="preserve"> </w:t>
      </w:r>
      <w:r w:rsidRPr="001F565B">
        <w:rPr>
          <w:b/>
          <w:bCs/>
          <w:sz w:val="20"/>
          <w:szCs w:val="20"/>
          <w:lang w:val="bg-BG"/>
        </w:rPr>
        <w:t>от 20 ноември 2018 година</w:t>
      </w:r>
      <w:r>
        <w:rPr>
          <w:b/>
          <w:bCs/>
          <w:sz w:val="20"/>
          <w:szCs w:val="20"/>
          <w:lang w:val="bg-BG"/>
        </w:rPr>
        <w:t xml:space="preserve"> </w:t>
      </w:r>
      <w:r w:rsidRPr="001F565B">
        <w:rPr>
          <w:b/>
          <w:bCs/>
          <w:sz w:val="20"/>
          <w:szCs w:val="20"/>
          <w:lang w:val="bg-BG"/>
        </w:rPr>
        <w:t xml:space="preserve">за установяване на процедура и критерии за извършването на оценка на икономическото равновесие в съответствие с член 11 от Директива 2012/34/ЕС </w:t>
      </w:r>
      <w:bookmarkStart w:id="1" w:name="_Hlk63240273"/>
      <w:r w:rsidRPr="001F565B">
        <w:rPr>
          <w:b/>
          <w:bCs/>
          <w:sz w:val="20"/>
          <w:szCs w:val="20"/>
          <w:lang w:val="bg-BG"/>
        </w:rPr>
        <w:t>на Европейския парламент и на Съвета</w:t>
      </w:r>
      <w:bookmarkEnd w:id="1"/>
    </w:p>
    <w:p w14:paraId="32DB1805" w14:textId="77777777" w:rsidR="00E759DE" w:rsidRPr="00524C1B" w:rsidRDefault="00E759DE" w:rsidP="00131A41">
      <w:pPr>
        <w:pStyle w:val="Default"/>
        <w:jc w:val="both"/>
        <w:rPr>
          <w:sz w:val="28"/>
          <w:szCs w:val="28"/>
          <w:lang w:val="ru-RU"/>
        </w:rPr>
      </w:pPr>
    </w:p>
    <w:p w14:paraId="1A3556AE" w14:textId="77777777" w:rsidR="0017662A" w:rsidRDefault="0017662A" w:rsidP="008B142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i/>
          <w:spacing w:val="20"/>
          <w:lang w:val="bg-BG"/>
        </w:rPr>
      </w:pPr>
      <w:r w:rsidRPr="00E759DE">
        <w:rPr>
          <w:b/>
          <w:i/>
          <w:spacing w:val="20"/>
          <w:lang w:val="bg-BG"/>
        </w:rPr>
        <w:t>ИНСТРУКЦИИ</w:t>
      </w:r>
    </w:p>
    <w:p w14:paraId="0B4B030B" w14:textId="77777777" w:rsidR="005C11A2" w:rsidRPr="00524C1B" w:rsidRDefault="005C11A2" w:rsidP="008B142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i/>
          <w:spacing w:val="20"/>
          <w:lang w:val="ru-RU"/>
        </w:rPr>
      </w:pPr>
    </w:p>
    <w:p w14:paraId="57C06874" w14:textId="77777777" w:rsidR="00D5606A" w:rsidRPr="006E2F6F" w:rsidRDefault="0017662A" w:rsidP="008B142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b/>
          <w:i/>
          <w:lang w:val="bg-BG"/>
        </w:rPr>
      </w:pPr>
      <w:r w:rsidRPr="00CD36B3">
        <w:rPr>
          <w:b/>
          <w:i/>
          <w:lang w:val="bg-BG"/>
        </w:rPr>
        <w:t>1)</w:t>
      </w:r>
      <w:r w:rsidR="00861A28" w:rsidRPr="00CD36B3">
        <w:rPr>
          <w:b/>
          <w:i/>
          <w:lang w:val="bg-BG"/>
        </w:rPr>
        <w:t xml:space="preserve"> </w:t>
      </w:r>
      <w:r w:rsidR="0076066D" w:rsidRPr="00CD36B3">
        <w:rPr>
          <w:b/>
          <w:i/>
          <w:lang w:val="bg-BG"/>
        </w:rPr>
        <w:t>П</w:t>
      </w:r>
      <w:r w:rsidR="004C4AAF" w:rsidRPr="00CD36B3">
        <w:rPr>
          <w:b/>
          <w:i/>
          <w:lang w:val="bg-BG"/>
        </w:rPr>
        <w:t xml:space="preserve">раво да подадат искане за </w:t>
      </w:r>
      <w:r w:rsidR="004A2F18" w:rsidRPr="00CD36B3">
        <w:rPr>
          <w:b/>
          <w:i/>
          <w:lang w:val="bg-BG"/>
        </w:rPr>
        <w:t xml:space="preserve">оценка на икономическото равновесие </w:t>
      </w:r>
      <w:r w:rsidR="0084625D" w:rsidRPr="006E2F6F">
        <w:rPr>
          <w:b/>
          <w:i/>
          <w:lang w:val="bg-BG"/>
        </w:rPr>
        <w:t>на нова железопътна услуга</w:t>
      </w:r>
      <w:r w:rsidR="0076066D" w:rsidRPr="006E2F6F">
        <w:rPr>
          <w:b/>
          <w:i/>
          <w:lang w:val="bg-BG"/>
        </w:rPr>
        <w:t xml:space="preserve"> </w:t>
      </w:r>
      <w:r w:rsidR="00D963D3" w:rsidRPr="006E2F6F">
        <w:rPr>
          <w:b/>
          <w:i/>
          <w:lang w:val="bg-BG"/>
        </w:rPr>
        <w:t>за превоз на пътници</w:t>
      </w:r>
      <w:r w:rsidR="00CF65DF" w:rsidRPr="006E2F6F">
        <w:rPr>
          <w:b/>
          <w:i/>
          <w:lang w:val="bg-BG"/>
        </w:rPr>
        <w:t>,</w:t>
      </w:r>
      <w:r w:rsidR="001F4531" w:rsidRPr="006E2F6F">
        <w:rPr>
          <w:b/>
          <w:i/>
          <w:lang w:val="bg-BG"/>
        </w:rPr>
        <w:t xml:space="preserve"> </w:t>
      </w:r>
      <w:r w:rsidR="00CF65DF" w:rsidRPr="006E2F6F">
        <w:rPr>
          <w:b/>
          <w:i/>
          <w:lang w:val="bg-BG"/>
        </w:rPr>
        <w:t>съгласно чл. 5а, ал. 3 от Наредба</w:t>
      </w:r>
      <w:r w:rsidR="00D963D3" w:rsidRPr="006E2F6F">
        <w:rPr>
          <w:b/>
          <w:i/>
          <w:lang w:val="bg-BG"/>
        </w:rPr>
        <w:t xml:space="preserve"> </w:t>
      </w:r>
      <w:r w:rsidR="00CF65DF" w:rsidRPr="006E2F6F">
        <w:rPr>
          <w:b/>
          <w:i/>
          <w:lang w:val="bg-BG"/>
        </w:rPr>
        <w:t>№ 41 за достъп и използване на ж</w:t>
      </w:r>
      <w:r w:rsidR="00E759DE" w:rsidRPr="006E2F6F">
        <w:rPr>
          <w:b/>
          <w:i/>
          <w:lang w:val="bg-BG"/>
        </w:rPr>
        <w:t>елезопътната</w:t>
      </w:r>
      <w:r w:rsidR="00CF65DF" w:rsidRPr="006E2F6F">
        <w:rPr>
          <w:b/>
          <w:i/>
          <w:lang w:val="bg-BG"/>
        </w:rPr>
        <w:t xml:space="preserve"> </w:t>
      </w:r>
      <w:r w:rsidR="00E759DE" w:rsidRPr="006E2F6F">
        <w:rPr>
          <w:b/>
          <w:i/>
          <w:lang w:val="bg-BG"/>
        </w:rPr>
        <w:t>инфраструктура</w:t>
      </w:r>
      <w:r w:rsidR="00CF65DF" w:rsidRPr="006E2F6F">
        <w:rPr>
          <w:b/>
          <w:i/>
          <w:lang w:val="bg-BG"/>
        </w:rPr>
        <w:t xml:space="preserve">, </w:t>
      </w:r>
      <w:r w:rsidR="0076066D" w:rsidRPr="006E2F6F">
        <w:rPr>
          <w:b/>
          <w:i/>
          <w:lang w:val="bg-BG"/>
        </w:rPr>
        <w:t>имат</w:t>
      </w:r>
      <w:r w:rsidR="004C4AAF" w:rsidRPr="006E2F6F">
        <w:rPr>
          <w:b/>
          <w:i/>
          <w:lang w:val="bg-BG"/>
        </w:rPr>
        <w:t>:</w:t>
      </w:r>
    </w:p>
    <w:p w14:paraId="0B741178" w14:textId="17800878" w:rsidR="000444B5" w:rsidRPr="00CD36B3" w:rsidRDefault="00E47DF7" w:rsidP="008B142E">
      <w:pPr>
        <w:pBdr>
          <w:top w:val="single" w:sz="4" w:space="1" w:color="auto"/>
          <w:left w:val="single" w:sz="4" w:space="4" w:color="auto"/>
          <w:bottom w:val="single" w:sz="4" w:space="1" w:color="auto"/>
          <w:right w:val="single" w:sz="4" w:space="4" w:color="auto"/>
        </w:pBdr>
        <w:shd w:val="clear" w:color="auto" w:fill="F2F2F2" w:themeFill="background1" w:themeFillShade="F2"/>
        <w:ind w:firstLine="708"/>
        <w:jc w:val="both"/>
        <w:rPr>
          <w:b/>
          <w:i/>
          <w:lang w:val="bg-BG"/>
        </w:rPr>
      </w:pPr>
      <w:r w:rsidRPr="00CD36B3">
        <w:rPr>
          <w:b/>
          <w:i/>
          <w:lang w:val="bg-BG"/>
        </w:rPr>
        <w:t>- орган</w:t>
      </w:r>
      <w:r w:rsidR="008F2C06">
        <w:rPr>
          <w:b/>
          <w:i/>
          <w:lang w:val="bg-BG"/>
        </w:rPr>
        <w:t>ът</w:t>
      </w:r>
      <w:r w:rsidR="00131A41" w:rsidRPr="00524C1B">
        <w:rPr>
          <w:b/>
          <w:i/>
          <w:lang w:val="ru-RU"/>
        </w:rPr>
        <w:t>,</w:t>
      </w:r>
      <w:r w:rsidRPr="00CD36B3">
        <w:rPr>
          <w:b/>
          <w:i/>
          <w:lang w:val="bg-BG"/>
        </w:rPr>
        <w:t xml:space="preserve"> </w:t>
      </w:r>
      <w:r w:rsidR="000444B5" w:rsidRPr="00CD36B3">
        <w:rPr>
          <w:b/>
          <w:i/>
          <w:lang w:val="bg-BG"/>
        </w:rPr>
        <w:t>възложил</w:t>
      </w:r>
      <w:r w:rsidRPr="00CD36B3">
        <w:rPr>
          <w:b/>
          <w:i/>
          <w:lang w:val="bg-BG"/>
        </w:rPr>
        <w:t xml:space="preserve"> договор</w:t>
      </w:r>
      <w:r w:rsidR="008F2C06">
        <w:rPr>
          <w:b/>
          <w:i/>
          <w:lang w:val="bg-BG"/>
        </w:rPr>
        <w:t>а за обществена услуга</w:t>
      </w:r>
      <w:r w:rsidR="000444B5" w:rsidRPr="00CD36B3">
        <w:rPr>
          <w:b/>
          <w:i/>
          <w:lang w:val="bg-BG"/>
        </w:rPr>
        <w:t>;</w:t>
      </w:r>
    </w:p>
    <w:p w14:paraId="7ECEEE93" w14:textId="77777777" w:rsidR="00242EE9" w:rsidRPr="00CD36B3" w:rsidRDefault="00242EE9" w:rsidP="008B142E">
      <w:pPr>
        <w:pBdr>
          <w:top w:val="single" w:sz="4" w:space="1" w:color="auto"/>
          <w:left w:val="single" w:sz="4" w:space="4" w:color="auto"/>
          <w:bottom w:val="single" w:sz="4" w:space="1" w:color="auto"/>
          <w:right w:val="single" w:sz="4" w:space="4" w:color="auto"/>
        </w:pBdr>
        <w:shd w:val="clear" w:color="auto" w:fill="F2F2F2" w:themeFill="background1" w:themeFillShade="F2"/>
        <w:ind w:firstLine="708"/>
        <w:jc w:val="both"/>
        <w:rPr>
          <w:b/>
          <w:i/>
          <w:lang w:val="bg-BG"/>
        </w:rPr>
      </w:pPr>
      <w:r w:rsidRPr="00131A41">
        <w:rPr>
          <w:b/>
          <w:bCs/>
          <w:color w:val="000000"/>
          <w:lang w:val="bg-BG"/>
        </w:rPr>
        <w:t>-</w:t>
      </w:r>
      <w:r w:rsidR="001F4531" w:rsidRPr="00131A41">
        <w:rPr>
          <w:b/>
          <w:bCs/>
          <w:color w:val="000000"/>
          <w:lang w:val="bg-BG"/>
        </w:rPr>
        <w:t> </w:t>
      </w:r>
      <w:r w:rsidRPr="00CD36B3">
        <w:rPr>
          <w:b/>
          <w:i/>
          <w:color w:val="000000"/>
          <w:lang w:val="bg-BG"/>
        </w:rPr>
        <w:t>управ</w:t>
      </w:r>
      <w:r w:rsidR="0063326E" w:rsidRPr="00CD36B3">
        <w:rPr>
          <w:b/>
          <w:i/>
          <w:color w:val="000000"/>
          <w:lang w:val="bg-BG"/>
        </w:rPr>
        <w:t>ителя</w:t>
      </w:r>
      <w:r w:rsidR="006E2F6F">
        <w:rPr>
          <w:b/>
          <w:i/>
          <w:color w:val="000000"/>
          <w:lang w:val="bg-BG"/>
        </w:rPr>
        <w:t>т</w:t>
      </w:r>
      <w:r w:rsidR="0063326E" w:rsidRPr="00CD36B3">
        <w:rPr>
          <w:b/>
          <w:i/>
          <w:color w:val="000000"/>
          <w:lang w:val="bg-BG"/>
        </w:rPr>
        <w:t xml:space="preserve"> на </w:t>
      </w:r>
      <w:r w:rsidR="006E2F6F">
        <w:rPr>
          <w:b/>
          <w:i/>
          <w:color w:val="000000"/>
          <w:lang w:val="bg-BG"/>
        </w:rPr>
        <w:t xml:space="preserve">железопътната </w:t>
      </w:r>
      <w:r w:rsidR="005C11A2">
        <w:rPr>
          <w:b/>
          <w:i/>
          <w:color w:val="000000"/>
          <w:lang w:val="bg-BG"/>
        </w:rPr>
        <w:t>инфраструктура</w:t>
      </w:r>
      <w:r w:rsidR="006E2F6F">
        <w:rPr>
          <w:b/>
          <w:i/>
          <w:color w:val="000000"/>
          <w:lang w:val="bg-BG"/>
        </w:rPr>
        <w:t>;</w:t>
      </w:r>
    </w:p>
    <w:p w14:paraId="63A37044" w14:textId="79192910" w:rsidR="007C4F18" w:rsidRPr="00CD36B3" w:rsidRDefault="0076066D" w:rsidP="008B142E">
      <w:pPr>
        <w:pBdr>
          <w:top w:val="single" w:sz="4" w:space="1" w:color="auto"/>
          <w:left w:val="single" w:sz="4" w:space="4" w:color="auto"/>
          <w:bottom w:val="single" w:sz="4" w:space="1" w:color="auto"/>
          <w:right w:val="single" w:sz="4" w:space="4" w:color="auto"/>
        </w:pBdr>
        <w:shd w:val="clear" w:color="auto" w:fill="F2F2F2" w:themeFill="background1" w:themeFillShade="F2"/>
        <w:ind w:firstLine="708"/>
        <w:jc w:val="both"/>
        <w:rPr>
          <w:i/>
          <w:lang w:val="bg-BG"/>
        </w:rPr>
      </w:pPr>
      <w:r w:rsidRPr="00CD36B3">
        <w:rPr>
          <w:b/>
          <w:i/>
          <w:lang w:val="bg-BG"/>
        </w:rPr>
        <w:t>-</w:t>
      </w:r>
      <w:r w:rsidR="00131A41" w:rsidRPr="00524C1B">
        <w:rPr>
          <w:b/>
          <w:i/>
          <w:lang w:val="ru-RU"/>
        </w:rPr>
        <w:t xml:space="preserve"> </w:t>
      </w:r>
      <w:r w:rsidRPr="00CD36B3">
        <w:rPr>
          <w:b/>
          <w:i/>
          <w:lang w:val="bg-BG"/>
        </w:rPr>
        <w:t>железопътн</w:t>
      </w:r>
      <w:r w:rsidR="008F2C06">
        <w:rPr>
          <w:b/>
          <w:i/>
          <w:lang w:val="bg-BG"/>
        </w:rPr>
        <w:t>ият</w:t>
      </w:r>
      <w:r w:rsidRPr="00CD36B3">
        <w:rPr>
          <w:b/>
          <w:i/>
          <w:lang w:val="bg-BG"/>
        </w:rPr>
        <w:t xml:space="preserve"> пре</w:t>
      </w:r>
      <w:r w:rsidR="008F2C06">
        <w:rPr>
          <w:b/>
          <w:i/>
          <w:lang w:val="bg-BG"/>
        </w:rPr>
        <w:t>возвач</w:t>
      </w:r>
      <w:r w:rsidR="00E47DF7" w:rsidRPr="00CD36B3">
        <w:rPr>
          <w:b/>
          <w:i/>
          <w:lang w:val="bg-BG"/>
        </w:rPr>
        <w:t xml:space="preserve">, </w:t>
      </w:r>
      <w:r w:rsidR="0063326E" w:rsidRPr="00CD36B3">
        <w:rPr>
          <w:b/>
          <w:i/>
          <w:lang w:val="bg-BG"/>
        </w:rPr>
        <w:t>изпълняващ</w:t>
      </w:r>
      <w:r w:rsidR="0063326E" w:rsidRPr="008F2C06">
        <w:rPr>
          <w:b/>
          <w:i/>
          <w:strike/>
          <w:lang w:val="bg-BG"/>
        </w:rPr>
        <w:t>о</w:t>
      </w:r>
      <w:r w:rsidR="0063326E" w:rsidRPr="00CD36B3">
        <w:rPr>
          <w:b/>
          <w:i/>
          <w:lang w:val="bg-BG"/>
        </w:rPr>
        <w:t xml:space="preserve"> </w:t>
      </w:r>
      <w:r w:rsidR="00D00D71" w:rsidRPr="00CD36B3">
        <w:rPr>
          <w:b/>
          <w:i/>
          <w:lang w:val="bg-BG"/>
        </w:rPr>
        <w:t>договор</w:t>
      </w:r>
      <w:r w:rsidR="008F2C06">
        <w:rPr>
          <w:b/>
          <w:i/>
          <w:lang w:val="bg-BG"/>
        </w:rPr>
        <w:t>а</w:t>
      </w:r>
      <w:r w:rsidR="00D00D71" w:rsidRPr="00CD36B3">
        <w:rPr>
          <w:b/>
          <w:i/>
          <w:lang w:val="bg-BG"/>
        </w:rPr>
        <w:t xml:space="preserve"> за обществен</w:t>
      </w:r>
      <w:r w:rsidR="008F2C06">
        <w:rPr>
          <w:b/>
          <w:i/>
          <w:lang w:val="bg-BG"/>
        </w:rPr>
        <w:t>а</w:t>
      </w:r>
      <w:r w:rsidR="00D00D71" w:rsidRPr="00CD36B3">
        <w:rPr>
          <w:b/>
          <w:i/>
          <w:lang w:val="bg-BG"/>
        </w:rPr>
        <w:t xml:space="preserve"> </w:t>
      </w:r>
      <w:r w:rsidR="008F2C06">
        <w:rPr>
          <w:b/>
          <w:i/>
          <w:lang w:val="bg-BG"/>
        </w:rPr>
        <w:t xml:space="preserve">превозна </w:t>
      </w:r>
      <w:r w:rsidR="00D00D71" w:rsidRPr="00CD36B3">
        <w:rPr>
          <w:b/>
          <w:i/>
          <w:lang w:val="bg-BG"/>
        </w:rPr>
        <w:t>услуг</w:t>
      </w:r>
      <w:r w:rsidR="008F2C06">
        <w:rPr>
          <w:b/>
          <w:i/>
          <w:lang w:val="bg-BG"/>
        </w:rPr>
        <w:t>а</w:t>
      </w:r>
      <w:r w:rsidR="00534E2C">
        <w:rPr>
          <w:b/>
          <w:i/>
          <w:lang w:val="bg-BG"/>
        </w:rPr>
        <w:t>.</w:t>
      </w:r>
    </w:p>
    <w:p w14:paraId="1016CC14" w14:textId="77777777" w:rsidR="00F45E12" w:rsidRPr="00CD36B3" w:rsidRDefault="00451B15" w:rsidP="008B142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b/>
          <w:i/>
          <w:color w:val="222222"/>
          <w:lang w:val="bg-BG"/>
        </w:rPr>
      </w:pPr>
      <w:r>
        <w:rPr>
          <w:b/>
          <w:i/>
          <w:color w:val="222222"/>
          <w:lang w:val="bg-BG"/>
        </w:rPr>
        <w:t>2</w:t>
      </w:r>
      <w:r w:rsidR="0076066D" w:rsidRPr="00CD36B3">
        <w:rPr>
          <w:b/>
          <w:i/>
          <w:color w:val="222222"/>
          <w:lang w:val="bg-BG"/>
        </w:rPr>
        <w:t xml:space="preserve">) </w:t>
      </w:r>
      <w:r w:rsidR="001F4531" w:rsidRPr="00CD36B3">
        <w:rPr>
          <w:b/>
          <w:i/>
          <w:color w:val="222222"/>
          <w:lang w:val="bg-BG"/>
        </w:rPr>
        <w:t>ИАЖА, в качеството си на р</w:t>
      </w:r>
      <w:r w:rsidR="0076066D" w:rsidRPr="00CD36B3">
        <w:rPr>
          <w:b/>
          <w:i/>
          <w:color w:val="222222"/>
          <w:lang w:val="bg-BG"/>
        </w:rPr>
        <w:t>егулатор</w:t>
      </w:r>
      <w:r w:rsidR="001F4531" w:rsidRPr="00CD36B3">
        <w:rPr>
          <w:b/>
          <w:i/>
          <w:color w:val="222222"/>
          <w:lang w:val="bg-BG"/>
        </w:rPr>
        <w:t>ен</w:t>
      </w:r>
      <w:r w:rsidR="0076066D" w:rsidRPr="00CD36B3">
        <w:rPr>
          <w:b/>
          <w:i/>
          <w:color w:val="222222"/>
          <w:lang w:val="bg-BG"/>
        </w:rPr>
        <w:t xml:space="preserve"> орган</w:t>
      </w:r>
      <w:r w:rsidR="001F4531" w:rsidRPr="00CD36B3">
        <w:rPr>
          <w:b/>
          <w:i/>
          <w:color w:val="222222"/>
          <w:lang w:val="bg-BG"/>
        </w:rPr>
        <w:t>,</w:t>
      </w:r>
      <w:r w:rsidR="0076066D" w:rsidRPr="00CD36B3">
        <w:rPr>
          <w:b/>
          <w:i/>
          <w:color w:val="222222"/>
          <w:lang w:val="bg-BG"/>
        </w:rPr>
        <w:t xml:space="preserve"> </w:t>
      </w:r>
      <w:r w:rsidR="004C4AAF" w:rsidRPr="00CD36B3">
        <w:rPr>
          <w:b/>
          <w:i/>
          <w:color w:val="222222"/>
          <w:lang w:val="bg-BG"/>
        </w:rPr>
        <w:t>разглежда искането</w:t>
      </w:r>
      <w:r w:rsidR="00B84884" w:rsidRPr="00CD36B3">
        <w:rPr>
          <w:b/>
          <w:i/>
          <w:color w:val="222222"/>
          <w:lang w:val="bg-BG"/>
        </w:rPr>
        <w:t xml:space="preserve"> </w:t>
      </w:r>
      <w:r w:rsidR="00FF2823" w:rsidRPr="00CD36B3">
        <w:rPr>
          <w:b/>
          <w:i/>
          <w:color w:val="222222"/>
          <w:lang w:val="bg-BG"/>
        </w:rPr>
        <w:t>и ако прецени, че подалият искането не е предоставил ця</w:t>
      </w:r>
      <w:r w:rsidR="0065442F" w:rsidRPr="00CD36B3">
        <w:rPr>
          <w:b/>
          <w:i/>
          <w:color w:val="222222"/>
          <w:lang w:val="bg-BG"/>
        </w:rPr>
        <w:t xml:space="preserve">лата необходима информация, </w:t>
      </w:r>
      <w:r w:rsidR="00FF2823" w:rsidRPr="00CD36B3">
        <w:rPr>
          <w:b/>
          <w:i/>
          <w:color w:val="222222"/>
          <w:lang w:val="bg-BG"/>
        </w:rPr>
        <w:t>може да по</w:t>
      </w:r>
      <w:r w:rsidR="00DB47F8" w:rsidRPr="00CD36B3">
        <w:rPr>
          <w:b/>
          <w:i/>
          <w:color w:val="222222"/>
          <w:lang w:val="bg-BG"/>
        </w:rPr>
        <w:t>и</w:t>
      </w:r>
      <w:r w:rsidR="00FF2823" w:rsidRPr="00CD36B3">
        <w:rPr>
          <w:b/>
          <w:i/>
          <w:color w:val="222222"/>
          <w:lang w:val="bg-BG"/>
        </w:rPr>
        <w:t xml:space="preserve">ска допълнителна информация </w:t>
      </w:r>
      <w:r w:rsidR="00DB47F8" w:rsidRPr="00CD36B3">
        <w:rPr>
          <w:b/>
          <w:i/>
          <w:color w:val="222222"/>
          <w:lang w:val="bg-BG"/>
        </w:rPr>
        <w:t xml:space="preserve">в рамките </w:t>
      </w:r>
      <w:r w:rsidR="00DB47F8" w:rsidRPr="00340E91">
        <w:rPr>
          <w:b/>
          <w:i/>
          <w:lang w:val="bg-BG"/>
        </w:rPr>
        <w:t xml:space="preserve">на </w:t>
      </w:r>
      <w:r w:rsidR="007521E0" w:rsidRPr="00340E91">
        <w:rPr>
          <w:b/>
          <w:i/>
          <w:lang w:val="bg-BG"/>
        </w:rPr>
        <w:t xml:space="preserve">един месец </w:t>
      </w:r>
      <w:r w:rsidR="007521E0" w:rsidRPr="00CD36B3">
        <w:rPr>
          <w:b/>
          <w:i/>
          <w:color w:val="222222"/>
          <w:lang w:val="bg-BG"/>
        </w:rPr>
        <w:t>от</w:t>
      </w:r>
      <w:r w:rsidR="00DB47F8" w:rsidRPr="00CD36B3">
        <w:rPr>
          <w:b/>
          <w:i/>
          <w:color w:val="222222"/>
          <w:lang w:val="bg-BG"/>
        </w:rPr>
        <w:t xml:space="preserve"> получаването на искането</w:t>
      </w:r>
      <w:r w:rsidR="00DB47F8" w:rsidRPr="00CD36B3">
        <w:rPr>
          <w:rStyle w:val="FootnoteReference"/>
          <w:b/>
          <w:i/>
          <w:color w:val="222222"/>
          <w:lang w:val="bg-BG"/>
        </w:rPr>
        <w:footnoteReference w:id="1"/>
      </w:r>
      <w:r w:rsidR="00DB47F8" w:rsidRPr="00CD36B3">
        <w:rPr>
          <w:b/>
          <w:i/>
          <w:color w:val="222222"/>
          <w:lang w:val="bg-BG"/>
        </w:rPr>
        <w:t>.</w:t>
      </w:r>
    </w:p>
    <w:p w14:paraId="559FD9E8" w14:textId="66ABE70C" w:rsidR="00F45E12" w:rsidRPr="00CD36B3" w:rsidRDefault="00FF4A24" w:rsidP="008B142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b/>
          <w:i/>
          <w:color w:val="222222"/>
          <w:lang w:val="bg-BG"/>
        </w:rPr>
      </w:pPr>
      <w:r>
        <w:rPr>
          <w:b/>
          <w:i/>
          <w:color w:val="222222"/>
          <w:lang w:val="bg-BG"/>
        </w:rPr>
        <w:t>3</w:t>
      </w:r>
      <w:r w:rsidR="00F45E12" w:rsidRPr="00CD36B3">
        <w:rPr>
          <w:b/>
          <w:i/>
          <w:color w:val="222222"/>
          <w:lang w:val="bg-BG"/>
        </w:rPr>
        <w:t>)</w:t>
      </w:r>
      <w:r w:rsidR="00DB47F8" w:rsidRPr="00CD36B3">
        <w:rPr>
          <w:b/>
          <w:i/>
          <w:color w:val="222222"/>
          <w:lang w:val="bg-BG"/>
        </w:rPr>
        <w:t xml:space="preserve"> </w:t>
      </w:r>
      <w:r w:rsidR="001F4531" w:rsidRPr="00CD36B3">
        <w:rPr>
          <w:b/>
          <w:i/>
          <w:color w:val="222222"/>
          <w:lang w:val="bg-BG"/>
        </w:rPr>
        <w:t>ИАЖА</w:t>
      </w:r>
      <w:r w:rsidR="00F45E12" w:rsidRPr="00CD36B3">
        <w:rPr>
          <w:b/>
          <w:i/>
          <w:color w:val="222222"/>
          <w:lang w:val="bg-BG"/>
        </w:rPr>
        <w:t xml:space="preserve"> взема решение в срок </w:t>
      </w:r>
      <w:r w:rsidR="006E2F6F">
        <w:rPr>
          <w:b/>
          <w:i/>
          <w:color w:val="222222"/>
          <w:lang w:val="bg-BG"/>
        </w:rPr>
        <w:t>до</w:t>
      </w:r>
      <w:r w:rsidR="00F45E12" w:rsidRPr="00CD36B3">
        <w:rPr>
          <w:b/>
          <w:i/>
          <w:color w:val="222222"/>
          <w:lang w:val="bg-BG"/>
        </w:rPr>
        <w:t xml:space="preserve"> </w:t>
      </w:r>
      <w:r w:rsidR="007521E0" w:rsidRPr="00CD36B3">
        <w:rPr>
          <w:b/>
          <w:i/>
          <w:color w:val="222222"/>
          <w:lang w:val="bg-BG"/>
        </w:rPr>
        <w:t xml:space="preserve">шест седмици от получаването на </w:t>
      </w:r>
      <w:r w:rsidR="007521E0" w:rsidRPr="00D82597">
        <w:rPr>
          <w:b/>
          <w:i/>
          <w:lang w:val="bg-BG"/>
        </w:rPr>
        <w:t xml:space="preserve">цялата </w:t>
      </w:r>
      <w:r w:rsidR="00F45E12" w:rsidRPr="00CD36B3">
        <w:rPr>
          <w:b/>
          <w:i/>
          <w:color w:val="222222"/>
          <w:lang w:val="bg-BG"/>
        </w:rPr>
        <w:t>необходима информация.</w:t>
      </w:r>
    </w:p>
    <w:p w14:paraId="70776D6C" w14:textId="6BCBB1CA" w:rsidR="0063326E" w:rsidRPr="00524C1B" w:rsidRDefault="00FF4A24" w:rsidP="008B142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b/>
          <w:i/>
          <w:color w:val="222222"/>
          <w:lang w:val="ru-RU"/>
        </w:rPr>
      </w:pPr>
      <w:r>
        <w:rPr>
          <w:b/>
          <w:i/>
          <w:color w:val="222222"/>
          <w:lang w:val="bg-BG"/>
        </w:rPr>
        <w:t>4</w:t>
      </w:r>
      <w:r w:rsidR="0063326E" w:rsidRPr="00CD36B3">
        <w:rPr>
          <w:b/>
          <w:i/>
          <w:color w:val="222222"/>
          <w:lang w:val="ru-RU"/>
        </w:rPr>
        <w:t>)</w:t>
      </w:r>
      <w:r w:rsidR="0063326E" w:rsidRPr="00CD36B3">
        <w:rPr>
          <w:b/>
          <w:i/>
          <w:color w:val="222222"/>
          <w:lang w:val="bg-BG"/>
        </w:rPr>
        <w:t xml:space="preserve"> </w:t>
      </w:r>
      <w:r w:rsidR="001F4531" w:rsidRPr="00CD36B3">
        <w:rPr>
          <w:b/>
          <w:i/>
          <w:color w:val="222222"/>
          <w:lang w:val="bg-BG"/>
        </w:rPr>
        <w:t>ИАЖА</w:t>
      </w:r>
      <w:r w:rsidR="00E73B03" w:rsidRPr="00CD36B3">
        <w:rPr>
          <w:b/>
          <w:i/>
          <w:color w:val="222222"/>
          <w:lang w:val="ru-RU"/>
        </w:rPr>
        <w:t xml:space="preserve"> </w:t>
      </w:r>
      <w:r w:rsidR="00E73B03" w:rsidRPr="00CD36B3">
        <w:rPr>
          <w:b/>
          <w:i/>
          <w:color w:val="222222"/>
          <w:lang w:val="en-US"/>
        </w:rPr>
        <w:t>e</w:t>
      </w:r>
      <w:r w:rsidR="00E73B03" w:rsidRPr="00CD36B3">
        <w:rPr>
          <w:b/>
          <w:i/>
          <w:color w:val="222222"/>
          <w:lang w:val="ru-RU"/>
        </w:rPr>
        <w:t xml:space="preserve"> </w:t>
      </w:r>
      <w:r w:rsidR="00E73B03" w:rsidRPr="00CD36B3">
        <w:rPr>
          <w:b/>
          <w:i/>
          <w:color w:val="222222"/>
          <w:lang w:val="bg-BG"/>
        </w:rPr>
        <w:t>длъ</w:t>
      </w:r>
      <w:r w:rsidR="0065442F" w:rsidRPr="00CD36B3">
        <w:rPr>
          <w:b/>
          <w:i/>
          <w:color w:val="222222"/>
          <w:lang w:val="bg-BG"/>
        </w:rPr>
        <w:t>ж</w:t>
      </w:r>
      <w:r w:rsidR="001F4531" w:rsidRPr="00CD36B3">
        <w:rPr>
          <w:b/>
          <w:i/>
          <w:color w:val="222222"/>
          <w:lang w:val="bg-BG"/>
        </w:rPr>
        <w:t>на</w:t>
      </w:r>
      <w:r w:rsidR="0065442F" w:rsidRPr="00CD36B3">
        <w:rPr>
          <w:b/>
          <w:i/>
          <w:color w:val="222222"/>
          <w:lang w:val="bg-BG"/>
        </w:rPr>
        <w:t xml:space="preserve"> да опази поверителността </w:t>
      </w:r>
      <w:r w:rsidR="00E069EF" w:rsidRPr="00CD36B3">
        <w:rPr>
          <w:b/>
          <w:i/>
          <w:color w:val="222222"/>
          <w:lang w:val="bg-BG"/>
        </w:rPr>
        <w:t>на чувствителната търговска информация</w:t>
      </w:r>
      <w:r w:rsidR="00E73B03" w:rsidRPr="00CD36B3">
        <w:rPr>
          <w:b/>
          <w:i/>
          <w:color w:val="222222"/>
          <w:lang w:val="bg-BG"/>
        </w:rPr>
        <w:t>.</w:t>
      </w:r>
    </w:p>
    <w:p w14:paraId="30ADC7C3" w14:textId="00708AF2" w:rsidR="00CD36B3" w:rsidRPr="008B142E" w:rsidRDefault="00FF4A24" w:rsidP="008B142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b/>
          <w:i/>
          <w:lang w:val="bg-BG" w:eastAsia="en-US"/>
        </w:rPr>
      </w:pPr>
      <w:r>
        <w:rPr>
          <w:i/>
          <w:color w:val="222222"/>
          <w:lang w:val="ru-RU"/>
        </w:rPr>
        <w:t>5</w:t>
      </w:r>
      <w:r w:rsidR="00CD36B3" w:rsidRPr="008B142E">
        <w:rPr>
          <w:b/>
          <w:i/>
          <w:color w:val="222222"/>
          <w:lang w:val="ru-RU"/>
        </w:rPr>
        <w:t xml:space="preserve">) </w:t>
      </w:r>
      <w:r w:rsidR="00CD36B3" w:rsidRPr="008B142E">
        <w:rPr>
          <w:b/>
          <w:i/>
          <w:lang w:val="bg-BG" w:eastAsia="en-US"/>
        </w:rPr>
        <w:t>ИАЖА може да спре разглеждането на предложеното заявление за нова услуга за железопътен превоз на пътници за максимален период от 12 месеца, считано от датата на получаване на уведомлението на заявителя на новата железопътна услуга за превоз на пътници, или до приключване на тръжната процедура, в зависимост от това кое от двете събития настъпи по-рано по отношение на договор за обществени услуги, който е в процес на състезателна тръжна процедура, в съответствие с член 5, параграф 2</w:t>
      </w:r>
      <w:r w:rsidR="006E2F6F" w:rsidRPr="008B142E">
        <w:rPr>
          <w:b/>
          <w:i/>
          <w:lang w:val="bg-BG" w:eastAsia="en-US"/>
        </w:rPr>
        <w:t xml:space="preserve"> на </w:t>
      </w:r>
      <w:r w:rsidR="006E2F6F" w:rsidRPr="00524C1B">
        <w:rPr>
          <w:b/>
          <w:bCs/>
          <w:i/>
          <w:lang w:val="ru-RU"/>
        </w:rPr>
        <w:t>Регламент (ЕС) № 2018/1795</w:t>
      </w:r>
      <w:r w:rsidR="00CD36B3" w:rsidRPr="0069254E">
        <w:rPr>
          <w:b/>
          <w:i/>
          <w:lang w:val="bg-BG" w:eastAsia="en-US"/>
        </w:rPr>
        <w:t>.</w:t>
      </w:r>
    </w:p>
    <w:p w14:paraId="15D563AD" w14:textId="66F1ACA5" w:rsidR="0095115C" w:rsidRPr="00CD36B3" w:rsidRDefault="00FF4A24" w:rsidP="008B142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i/>
          <w:strike/>
          <w:lang w:val="bg-BG"/>
        </w:rPr>
      </w:pPr>
      <w:r>
        <w:rPr>
          <w:b/>
          <w:i/>
          <w:color w:val="222222"/>
          <w:lang w:val="ru-RU"/>
        </w:rPr>
        <w:t>6</w:t>
      </w:r>
      <w:r w:rsidR="0095115C" w:rsidRPr="00CD36B3">
        <w:rPr>
          <w:b/>
          <w:i/>
          <w:color w:val="222222"/>
          <w:lang w:val="ru-RU"/>
        </w:rPr>
        <w:t>)</w:t>
      </w:r>
      <w:r w:rsidR="00203888" w:rsidRPr="00CD36B3">
        <w:rPr>
          <w:b/>
          <w:i/>
          <w:color w:val="222222"/>
          <w:lang w:val="bg-BG"/>
        </w:rPr>
        <w:t xml:space="preserve"> </w:t>
      </w:r>
      <w:r w:rsidR="008F305A" w:rsidRPr="00CD36B3">
        <w:rPr>
          <w:b/>
          <w:i/>
          <w:color w:val="222222"/>
          <w:lang w:val="bg-BG"/>
        </w:rPr>
        <w:t>Попълнения</w:t>
      </w:r>
      <w:r w:rsidR="002D4293" w:rsidRPr="00CD36B3">
        <w:rPr>
          <w:b/>
          <w:i/>
          <w:color w:val="222222"/>
          <w:lang w:val="bg-BG"/>
        </w:rPr>
        <w:t>т</w:t>
      </w:r>
      <w:r w:rsidR="008F305A" w:rsidRPr="00CD36B3">
        <w:rPr>
          <w:b/>
          <w:i/>
          <w:color w:val="222222"/>
          <w:lang w:val="bg-BG"/>
        </w:rPr>
        <w:t xml:space="preserve"> образец</w:t>
      </w:r>
      <w:r w:rsidR="00203888" w:rsidRPr="00CD36B3">
        <w:rPr>
          <w:b/>
          <w:i/>
          <w:color w:val="222222"/>
          <w:lang w:val="bg-BG"/>
        </w:rPr>
        <w:t xml:space="preserve">, както и цялата информация се изпраща на </w:t>
      </w:r>
      <w:r w:rsidR="00BD4150" w:rsidRPr="00CD36B3">
        <w:rPr>
          <w:b/>
          <w:i/>
          <w:color w:val="222222"/>
          <w:lang w:val="bg-BG"/>
        </w:rPr>
        <w:t>ИАЖА</w:t>
      </w:r>
      <w:r w:rsidR="00203888" w:rsidRPr="00CD36B3">
        <w:rPr>
          <w:b/>
          <w:i/>
          <w:color w:val="222222"/>
          <w:lang w:val="bg-BG"/>
        </w:rPr>
        <w:t xml:space="preserve"> </w:t>
      </w:r>
      <w:r w:rsidR="0095115C" w:rsidRPr="00CD36B3">
        <w:rPr>
          <w:b/>
          <w:i/>
          <w:color w:val="222222"/>
          <w:lang w:val="bg-BG"/>
        </w:rPr>
        <w:t>в електронен формат.</w:t>
      </w:r>
    </w:p>
    <w:p w14:paraId="365DA38A" w14:textId="77777777" w:rsidR="00EE324A" w:rsidRPr="00CD36B3" w:rsidRDefault="00EE324A" w:rsidP="008B142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i/>
          <w:lang w:val="bg-BG"/>
        </w:rPr>
      </w:pPr>
    </w:p>
    <w:p w14:paraId="4157A7BF" w14:textId="77777777" w:rsidR="00EE324A" w:rsidRPr="00F45E12" w:rsidRDefault="00EE324A" w:rsidP="0017662A">
      <w:pPr>
        <w:jc w:val="both"/>
        <w:rPr>
          <w:lang w:val="bg-BG"/>
        </w:rPr>
      </w:pPr>
    </w:p>
    <w:p w14:paraId="5ACB1038" w14:textId="77777777" w:rsidR="0076066D" w:rsidRPr="00F45E12" w:rsidRDefault="0076066D" w:rsidP="0076066D">
      <w:pPr>
        <w:jc w:val="both"/>
        <w:rPr>
          <w:b/>
          <w:lang w:val="bg-BG"/>
        </w:rPr>
      </w:pPr>
      <w:r w:rsidRPr="00F45E12">
        <w:rPr>
          <w:b/>
          <w:lang w:val="bg-BG"/>
        </w:rPr>
        <w:t xml:space="preserve">Данни за </w:t>
      </w:r>
      <w:r w:rsidR="00F17137">
        <w:rPr>
          <w:b/>
          <w:lang w:val="bg-BG"/>
        </w:rPr>
        <w:t>субекта</w:t>
      </w:r>
      <w:r w:rsidRPr="00F45E12">
        <w:rPr>
          <w:b/>
          <w:lang w:val="bg-BG"/>
        </w:rPr>
        <w:t>, подаващ искането:</w:t>
      </w:r>
    </w:p>
    <w:p w14:paraId="3B3A1946" w14:textId="77777777" w:rsidR="002C7FC7" w:rsidRPr="00524C1B" w:rsidRDefault="00E00AA4" w:rsidP="0076066D">
      <w:pPr>
        <w:pBdr>
          <w:top w:val="single" w:sz="4" w:space="1" w:color="auto"/>
          <w:left w:val="single" w:sz="4" w:space="1" w:color="auto"/>
          <w:bottom w:val="single" w:sz="4" w:space="1" w:color="auto"/>
          <w:right w:val="single" w:sz="4" w:space="1" w:color="auto"/>
        </w:pBdr>
        <w:tabs>
          <w:tab w:val="left" w:pos="5034"/>
        </w:tabs>
        <w:spacing w:line="360" w:lineRule="auto"/>
        <w:rPr>
          <w:lang w:val="ru-RU"/>
        </w:rPr>
      </w:pPr>
      <w:r>
        <w:rPr>
          <w:lang w:val="bg-BG"/>
        </w:rPr>
        <w:t>Наи</w:t>
      </w:r>
      <w:r w:rsidR="0076066D" w:rsidRPr="00F45E12">
        <w:rPr>
          <w:lang w:val="bg-BG"/>
        </w:rPr>
        <w:t>ме</w:t>
      </w:r>
      <w:r>
        <w:rPr>
          <w:lang w:val="bg-BG"/>
        </w:rPr>
        <w:t>нование</w:t>
      </w:r>
      <w:r w:rsidR="0076066D" w:rsidRPr="00F45E12">
        <w:rPr>
          <w:lang w:val="bg-BG"/>
        </w:rPr>
        <w:t>:………………</w:t>
      </w:r>
      <w:r w:rsidR="00F17137">
        <w:rPr>
          <w:lang w:val="bg-BG"/>
        </w:rPr>
        <w:t>……………………………………………………………………</w:t>
      </w:r>
    </w:p>
    <w:p w14:paraId="3EE85F9B" w14:textId="77777777" w:rsidR="0076066D" w:rsidRPr="00F45E12" w:rsidRDefault="0076066D" w:rsidP="0076066D">
      <w:pPr>
        <w:pBdr>
          <w:top w:val="single" w:sz="4" w:space="1" w:color="auto"/>
          <w:left w:val="single" w:sz="4" w:space="1" w:color="auto"/>
          <w:bottom w:val="single" w:sz="4" w:space="1" w:color="auto"/>
          <w:right w:val="single" w:sz="4" w:space="1" w:color="auto"/>
        </w:pBdr>
        <w:tabs>
          <w:tab w:val="left" w:pos="5034"/>
        </w:tabs>
        <w:spacing w:line="360" w:lineRule="auto"/>
        <w:rPr>
          <w:lang w:val="bg-BG"/>
        </w:rPr>
      </w:pPr>
      <w:r w:rsidRPr="00F45E12">
        <w:rPr>
          <w:lang w:val="bg-BG"/>
        </w:rPr>
        <w:t>Юридическа форма: ……………………………………………………………………………...</w:t>
      </w:r>
    </w:p>
    <w:p w14:paraId="73A89A97" w14:textId="77777777" w:rsidR="0076066D" w:rsidRPr="00F45E12" w:rsidRDefault="0076066D" w:rsidP="0076066D">
      <w:pPr>
        <w:pBdr>
          <w:top w:val="single" w:sz="4" w:space="1" w:color="auto"/>
          <w:left w:val="single" w:sz="4" w:space="1" w:color="auto"/>
          <w:bottom w:val="single" w:sz="4" w:space="1" w:color="auto"/>
          <w:right w:val="single" w:sz="4" w:space="1" w:color="auto"/>
        </w:pBdr>
        <w:spacing w:line="360" w:lineRule="auto"/>
        <w:rPr>
          <w:lang w:val="bg-BG"/>
        </w:rPr>
      </w:pPr>
      <w:r w:rsidRPr="00F45E12">
        <w:rPr>
          <w:lang w:val="bg-BG"/>
        </w:rPr>
        <w:t>Адрес: ……………………………………………………………………………………………..</w:t>
      </w:r>
    </w:p>
    <w:p w14:paraId="263F9888" w14:textId="71102B2A" w:rsidR="0076066D" w:rsidRPr="00F45E12" w:rsidRDefault="00537D82" w:rsidP="0076066D">
      <w:pPr>
        <w:pBdr>
          <w:top w:val="single" w:sz="4" w:space="1" w:color="auto"/>
          <w:left w:val="single" w:sz="4" w:space="1" w:color="auto"/>
          <w:bottom w:val="single" w:sz="4" w:space="1" w:color="auto"/>
          <w:right w:val="single" w:sz="4" w:space="1" w:color="auto"/>
        </w:pBdr>
        <w:spacing w:line="360" w:lineRule="auto"/>
        <w:rPr>
          <w:lang w:val="bg-BG"/>
        </w:rPr>
      </w:pPr>
      <w:r w:rsidRPr="00537D82">
        <w:rPr>
          <w:lang w:val="bg-BG"/>
        </w:rPr>
        <w:t>ЕИК/ПИК</w:t>
      </w:r>
      <w:r w:rsidR="0076066D" w:rsidRPr="00F45E12">
        <w:rPr>
          <w:lang w:val="bg-BG"/>
        </w:rPr>
        <w:t xml:space="preserve"> …………………………… Имейл: ..………………………………………</w:t>
      </w:r>
    </w:p>
    <w:p w14:paraId="70CB4EAD" w14:textId="640F4CBD" w:rsidR="0076066D" w:rsidRPr="00F45E12" w:rsidRDefault="0076066D" w:rsidP="0076066D">
      <w:pPr>
        <w:pBdr>
          <w:top w:val="single" w:sz="4" w:space="1" w:color="auto"/>
          <w:left w:val="single" w:sz="4" w:space="1" w:color="auto"/>
          <w:bottom w:val="single" w:sz="4" w:space="1" w:color="auto"/>
          <w:right w:val="single" w:sz="4" w:space="1" w:color="auto"/>
        </w:pBdr>
        <w:jc w:val="both"/>
        <w:rPr>
          <w:b/>
          <w:lang w:val="bg-BG"/>
        </w:rPr>
      </w:pPr>
      <w:r w:rsidRPr="00F45E12">
        <w:rPr>
          <w:b/>
          <w:lang w:val="bg-BG"/>
        </w:rPr>
        <w:t xml:space="preserve">Лице </w:t>
      </w:r>
      <w:r w:rsidR="003F2BC3">
        <w:rPr>
          <w:b/>
          <w:lang w:val="bg-BG"/>
        </w:rPr>
        <w:t>представляващо дружеството</w:t>
      </w:r>
      <w:r w:rsidRPr="00F45E12">
        <w:rPr>
          <w:b/>
          <w:lang w:val="bg-BG"/>
        </w:rPr>
        <w:t>:</w:t>
      </w:r>
    </w:p>
    <w:p w14:paraId="429648AB" w14:textId="77777777" w:rsidR="0076066D" w:rsidRPr="00F45E12" w:rsidRDefault="0076066D" w:rsidP="0076066D">
      <w:pPr>
        <w:pBdr>
          <w:top w:val="single" w:sz="4" w:space="1" w:color="auto"/>
          <w:left w:val="single" w:sz="4" w:space="1" w:color="auto"/>
          <w:bottom w:val="single" w:sz="4" w:space="1" w:color="auto"/>
          <w:right w:val="single" w:sz="4" w:space="1" w:color="auto"/>
        </w:pBdr>
        <w:tabs>
          <w:tab w:val="left" w:pos="5034"/>
        </w:tabs>
        <w:spacing w:line="360" w:lineRule="auto"/>
        <w:rPr>
          <w:lang w:val="bg-BG"/>
        </w:rPr>
      </w:pPr>
      <w:r w:rsidRPr="00F45E12">
        <w:rPr>
          <w:lang w:val="bg-BG"/>
        </w:rPr>
        <w:t>Име: ………………………………………………………………………………………………</w:t>
      </w:r>
    </w:p>
    <w:p w14:paraId="1A6EB1D9" w14:textId="77777777" w:rsidR="0076066D" w:rsidRPr="00F45E12" w:rsidRDefault="0076066D" w:rsidP="0076066D">
      <w:pPr>
        <w:pBdr>
          <w:top w:val="single" w:sz="4" w:space="1" w:color="auto"/>
          <w:left w:val="single" w:sz="4" w:space="1" w:color="auto"/>
          <w:bottom w:val="single" w:sz="4" w:space="1" w:color="auto"/>
          <w:right w:val="single" w:sz="4" w:space="1" w:color="auto"/>
        </w:pBdr>
        <w:tabs>
          <w:tab w:val="left" w:pos="5034"/>
        </w:tabs>
        <w:spacing w:line="360" w:lineRule="auto"/>
        <w:rPr>
          <w:lang w:val="bg-BG"/>
        </w:rPr>
      </w:pPr>
      <w:r w:rsidRPr="00F45E12">
        <w:rPr>
          <w:lang w:val="bg-BG"/>
        </w:rPr>
        <w:t>Имейл: ……………………………………</w:t>
      </w:r>
    </w:p>
    <w:p w14:paraId="23A990A0" w14:textId="77777777" w:rsidR="002C7FC7" w:rsidRPr="00CD36B3" w:rsidRDefault="0076066D" w:rsidP="00CD36B3">
      <w:pPr>
        <w:pBdr>
          <w:top w:val="single" w:sz="4" w:space="1" w:color="auto"/>
          <w:left w:val="single" w:sz="4" w:space="1" w:color="auto"/>
          <w:bottom w:val="single" w:sz="4" w:space="1" w:color="auto"/>
          <w:right w:val="single" w:sz="4" w:space="1" w:color="auto"/>
        </w:pBdr>
        <w:spacing w:line="360" w:lineRule="auto"/>
        <w:rPr>
          <w:lang w:val="bg-BG"/>
        </w:rPr>
      </w:pPr>
      <w:r w:rsidRPr="00F45E12">
        <w:rPr>
          <w:lang w:val="bg-BG"/>
        </w:rPr>
        <w:t>Тел. номер: ………………………………</w:t>
      </w:r>
    </w:p>
    <w:p w14:paraId="3B1E05D8" w14:textId="77777777" w:rsidR="005C11A2" w:rsidRDefault="005C11A2" w:rsidP="0076066D">
      <w:pPr>
        <w:pStyle w:val="Default"/>
        <w:rPr>
          <w:b/>
          <w:lang w:val="bg-BG"/>
        </w:rPr>
      </w:pPr>
    </w:p>
    <w:p w14:paraId="09D30065" w14:textId="77777777" w:rsidR="005C11A2" w:rsidRDefault="005C11A2" w:rsidP="0076066D">
      <w:pPr>
        <w:pStyle w:val="Default"/>
        <w:rPr>
          <w:b/>
          <w:lang w:val="bg-BG"/>
        </w:rPr>
      </w:pPr>
    </w:p>
    <w:p w14:paraId="7EC2DCC2" w14:textId="77777777" w:rsidR="005C11A2" w:rsidRPr="005C11A2" w:rsidRDefault="001B1690" w:rsidP="005C11A2">
      <w:pPr>
        <w:pStyle w:val="Default"/>
        <w:rPr>
          <w:b/>
          <w:lang w:val="bg-BG"/>
        </w:rPr>
      </w:pPr>
      <w:r w:rsidRPr="00FE32D2">
        <w:rPr>
          <w:b/>
          <w:lang w:val="bg-BG"/>
        </w:rPr>
        <w:t>Изисквания към информация</w:t>
      </w:r>
      <w:r w:rsidR="006B0BF4">
        <w:rPr>
          <w:b/>
          <w:lang w:val="bg-BG"/>
        </w:rPr>
        <w:t>та</w:t>
      </w:r>
      <w:r w:rsidRPr="00FE32D2">
        <w:rPr>
          <w:b/>
          <w:lang w:val="bg-BG"/>
        </w:rPr>
        <w:t xml:space="preserve">, </w:t>
      </w:r>
      <w:r w:rsidR="00FE32D2" w:rsidRPr="00FE32D2">
        <w:rPr>
          <w:b/>
          <w:lang w:val="bg-BG"/>
        </w:rPr>
        <w:t>необходима за оценка на икономическото равновесие</w:t>
      </w:r>
      <w:r w:rsidR="005C11A2">
        <w:rPr>
          <w:b/>
          <w:lang w:val="bg-BG"/>
        </w:rPr>
        <w:t>:</w:t>
      </w:r>
      <w:r w:rsidRPr="00FE32D2">
        <w:rPr>
          <w:b/>
          <w:lang w:val="bg-BG"/>
        </w:rPr>
        <w:t xml:space="preserve"> </w:t>
      </w:r>
    </w:p>
    <w:p w14:paraId="149BF5EA" w14:textId="164F57DB" w:rsidR="006B0BF4" w:rsidRPr="007F31E1" w:rsidRDefault="006B0BF4" w:rsidP="00FF2823">
      <w:pPr>
        <w:tabs>
          <w:tab w:val="left" w:pos="5220"/>
        </w:tabs>
        <w:jc w:val="both"/>
        <w:rPr>
          <w:lang w:val="bg-BG"/>
        </w:rPr>
      </w:pPr>
      <w:r w:rsidRPr="007F31E1">
        <w:rPr>
          <w:lang w:val="bg-BG"/>
        </w:rPr>
        <w:t>О</w:t>
      </w:r>
      <w:r w:rsidR="007F31E1">
        <w:rPr>
          <w:lang w:val="bg-BG"/>
        </w:rPr>
        <w:t>босновка</w:t>
      </w:r>
      <w:r w:rsidR="007F31E1" w:rsidRPr="007F31E1">
        <w:rPr>
          <w:lang w:val="bg-BG"/>
        </w:rPr>
        <w:t xml:space="preserve"> и </w:t>
      </w:r>
      <w:r w:rsidR="007F31E1" w:rsidRPr="00524C1B">
        <w:rPr>
          <w:lang w:val="ru-RU"/>
        </w:rPr>
        <w:t xml:space="preserve">доводи, </w:t>
      </w:r>
      <w:r w:rsidR="007F31E1" w:rsidRPr="007F31E1">
        <w:rPr>
          <w:lang w:val="bg-BG"/>
        </w:rPr>
        <w:t>че икономическото равновесие на договора ще бъде нарушено от новата услуга</w:t>
      </w:r>
      <w:r w:rsidR="007F31E1">
        <w:rPr>
          <w:lang w:val="bg-BG"/>
        </w:rPr>
        <w:t>.</w:t>
      </w:r>
      <w:r w:rsidR="007F31E1" w:rsidRPr="00524C1B">
        <w:rPr>
          <w:lang w:val="ru-RU"/>
        </w:rPr>
        <w:t xml:space="preserve"> </w:t>
      </w:r>
      <w:r w:rsidR="007F31E1">
        <w:rPr>
          <w:lang w:val="bg-BG"/>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76066D" w:rsidRPr="00524C1B" w14:paraId="3F979EC6" w14:textId="77777777" w:rsidTr="007F31E1">
        <w:trPr>
          <w:trHeight w:val="3135"/>
        </w:trPr>
        <w:tc>
          <w:tcPr>
            <w:tcW w:w="9689" w:type="dxa"/>
            <w:shd w:val="clear" w:color="auto" w:fill="auto"/>
          </w:tcPr>
          <w:p w14:paraId="3E35DA2A" w14:textId="77777777" w:rsidR="0076066D" w:rsidRPr="00524C1B" w:rsidRDefault="009738C6" w:rsidP="00442FD8">
            <w:pPr>
              <w:spacing w:line="360" w:lineRule="auto"/>
              <w:jc w:val="both"/>
              <w:rPr>
                <w:rFonts w:ascii="Arial" w:hAnsi="Arial" w:cs="Arial"/>
                <w:lang w:val="bg-BG"/>
              </w:rPr>
            </w:pPr>
            <w:r>
              <w:rPr>
                <w:rFonts w:ascii="Arial" w:hAnsi="Arial" w:cs="Arial"/>
                <w:color w:val="FF0000"/>
                <w:lang w:val="bg-BG"/>
              </w:rPr>
              <w:lastRenderedPageBreak/>
              <w:t xml:space="preserve"> </w:t>
            </w:r>
          </w:p>
          <w:p w14:paraId="32FF5407" w14:textId="77777777" w:rsidR="009738C6" w:rsidRPr="00524C1B" w:rsidRDefault="009738C6" w:rsidP="00442FD8">
            <w:pPr>
              <w:spacing w:line="360" w:lineRule="auto"/>
              <w:jc w:val="both"/>
              <w:rPr>
                <w:rFonts w:ascii="Arial" w:hAnsi="Arial" w:cs="Arial"/>
                <w:lang w:val="bg-BG"/>
              </w:rPr>
            </w:pPr>
          </w:p>
          <w:p w14:paraId="0847510F" w14:textId="77777777" w:rsidR="009738C6" w:rsidRPr="00524C1B" w:rsidRDefault="009738C6" w:rsidP="00442FD8">
            <w:pPr>
              <w:spacing w:line="360" w:lineRule="auto"/>
              <w:jc w:val="both"/>
              <w:rPr>
                <w:lang w:val="bg-BG"/>
              </w:rPr>
            </w:pPr>
          </w:p>
          <w:p w14:paraId="32FD6EFD" w14:textId="77777777" w:rsidR="001F4531" w:rsidRPr="0095115C" w:rsidRDefault="001F4531" w:rsidP="00442FD8">
            <w:pPr>
              <w:spacing w:line="360" w:lineRule="auto"/>
              <w:jc w:val="both"/>
              <w:rPr>
                <w:color w:val="FF0000"/>
                <w:lang w:val="bg-BG"/>
              </w:rPr>
            </w:pPr>
          </w:p>
        </w:tc>
      </w:tr>
    </w:tbl>
    <w:p w14:paraId="36B2FAFB" w14:textId="77777777" w:rsidR="0076066D" w:rsidRPr="00F45E12" w:rsidRDefault="0076066D" w:rsidP="0076066D">
      <w:pPr>
        <w:pStyle w:val="Default"/>
        <w:rPr>
          <w:b/>
          <w:color w:val="auto"/>
          <w:lang w:val="bg-BG"/>
        </w:rPr>
      </w:pPr>
    </w:p>
    <w:p w14:paraId="024D6EF6" w14:textId="77777777" w:rsidR="0076066D" w:rsidRPr="00F45E12" w:rsidRDefault="0076066D" w:rsidP="0076066D">
      <w:pPr>
        <w:pStyle w:val="Default"/>
        <w:rPr>
          <w:b/>
          <w:color w:val="222222"/>
          <w:lang w:val="bg-BG"/>
        </w:rPr>
      </w:pPr>
    </w:p>
    <w:p w14:paraId="6FA67C5A" w14:textId="77777777" w:rsidR="0076066D" w:rsidRPr="003D245A" w:rsidRDefault="0076066D" w:rsidP="0076066D">
      <w:pPr>
        <w:pStyle w:val="Default"/>
        <w:rPr>
          <w:b/>
          <w:color w:val="auto"/>
          <w:lang w:val="bg-BG"/>
        </w:rPr>
      </w:pPr>
      <w:r w:rsidRPr="00FE32D2">
        <w:rPr>
          <w:color w:val="222222"/>
          <w:lang w:val="bg-BG"/>
        </w:rPr>
        <w:t xml:space="preserve">Информация и документация, </w:t>
      </w:r>
      <w:r w:rsidR="003D245A">
        <w:rPr>
          <w:color w:val="222222"/>
          <w:lang w:val="bg-BG"/>
        </w:rPr>
        <w:t>вкл</w:t>
      </w:r>
      <w:r w:rsidR="003D245A" w:rsidRPr="003D245A">
        <w:rPr>
          <w:color w:val="auto"/>
          <w:lang w:val="bg-BG"/>
        </w:rPr>
        <w:t>. копие на договора за обществени услуги,</w:t>
      </w:r>
      <w:r w:rsidR="005C11A2">
        <w:rPr>
          <w:color w:val="auto"/>
          <w:lang w:val="bg-BG"/>
        </w:rPr>
        <w:t xml:space="preserve"> ако субектът, подаващ искането</w:t>
      </w:r>
      <w:r w:rsidR="003D245A" w:rsidRPr="003D245A">
        <w:rPr>
          <w:color w:val="auto"/>
          <w:lang w:val="bg-BG"/>
        </w:rPr>
        <w:t xml:space="preserve"> е железопътното предприятие, изпълняващо договора за обществени услуги</w:t>
      </w:r>
      <w:r w:rsidR="005C11A2">
        <w:rPr>
          <w:color w:val="auto"/>
          <w:lang w:val="bg-BG"/>
        </w:rPr>
        <w:t>,</w:t>
      </w:r>
      <w:r w:rsidR="003D245A" w:rsidRPr="003D245A">
        <w:rPr>
          <w:color w:val="auto"/>
          <w:lang w:val="bg-BG"/>
        </w:rPr>
        <w:t xml:space="preserve"> </w:t>
      </w:r>
      <w:r w:rsidRPr="003D245A">
        <w:rPr>
          <w:color w:val="auto"/>
          <w:lang w:val="bg-BG"/>
        </w:rPr>
        <w:t xml:space="preserve">подкрепящи </w:t>
      </w:r>
      <w:r w:rsidR="001F4531" w:rsidRPr="003D245A">
        <w:rPr>
          <w:color w:val="auto"/>
          <w:lang w:val="bg-BG"/>
        </w:rPr>
        <w:t xml:space="preserve">горепосочените обосновка </w:t>
      </w:r>
      <w:r w:rsidR="008D40C4" w:rsidRPr="003D245A">
        <w:rPr>
          <w:color w:val="auto"/>
          <w:lang w:val="bg-BG"/>
        </w:rPr>
        <w:t>и доказателства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76066D" w:rsidRPr="00524C1B" w14:paraId="75C812DA" w14:textId="77777777" w:rsidTr="00442FD8">
        <w:tc>
          <w:tcPr>
            <w:tcW w:w="9689" w:type="dxa"/>
            <w:shd w:val="clear" w:color="auto" w:fill="auto"/>
          </w:tcPr>
          <w:p w14:paraId="60FD703F" w14:textId="77777777" w:rsidR="0076066D" w:rsidRPr="00F45E12" w:rsidRDefault="0076066D" w:rsidP="00442FD8">
            <w:pPr>
              <w:spacing w:line="360" w:lineRule="auto"/>
              <w:jc w:val="both"/>
              <w:rPr>
                <w:color w:val="222222"/>
                <w:lang w:val="bg-BG"/>
              </w:rPr>
            </w:pPr>
          </w:p>
        </w:tc>
      </w:tr>
    </w:tbl>
    <w:p w14:paraId="1788199A" w14:textId="77777777" w:rsidR="0076066D" w:rsidRPr="00F45E12" w:rsidRDefault="0076066D" w:rsidP="0076066D">
      <w:pPr>
        <w:pStyle w:val="Default"/>
        <w:rPr>
          <w:b/>
          <w:lang w:val="bg-BG"/>
        </w:rPr>
      </w:pPr>
      <w:r w:rsidRPr="00F45E12">
        <w:rPr>
          <w:b/>
          <w:lang w:val="bg-BG"/>
        </w:rPr>
        <w:t xml:space="preserve"> </w:t>
      </w:r>
    </w:p>
    <w:p w14:paraId="5B4AEBB5" w14:textId="77777777" w:rsidR="0076066D" w:rsidRPr="00FE32D2" w:rsidRDefault="005C11A2" w:rsidP="0076066D">
      <w:pPr>
        <w:spacing w:line="360" w:lineRule="auto"/>
        <w:jc w:val="both"/>
        <w:rPr>
          <w:lang w:val="bg-BG"/>
        </w:rPr>
      </w:pPr>
      <w:r>
        <w:rPr>
          <w:lang w:val="bg-BG"/>
        </w:rPr>
        <w:t>Приложени документи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76066D" w:rsidRPr="00F45E12" w14:paraId="4A6EA5FA" w14:textId="77777777" w:rsidTr="00442FD8">
        <w:tc>
          <w:tcPr>
            <w:tcW w:w="9689" w:type="dxa"/>
            <w:shd w:val="clear" w:color="auto" w:fill="auto"/>
          </w:tcPr>
          <w:p w14:paraId="64415286" w14:textId="77777777" w:rsidR="0076066D" w:rsidRPr="00F45E12" w:rsidRDefault="0076066D" w:rsidP="00442FD8">
            <w:pPr>
              <w:spacing w:line="360" w:lineRule="auto"/>
              <w:jc w:val="both"/>
              <w:rPr>
                <w:color w:val="222222"/>
                <w:lang w:val="bg-BG"/>
              </w:rPr>
            </w:pPr>
          </w:p>
          <w:p w14:paraId="3907BB5E" w14:textId="77777777" w:rsidR="0076066D" w:rsidRPr="00F45E12" w:rsidRDefault="0076066D" w:rsidP="00442FD8">
            <w:pPr>
              <w:spacing w:line="360" w:lineRule="auto"/>
              <w:jc w:val="both"/>
              <w:rPr>
                <w:color w:val="222222"/>
                <w:lang w:val="bg-BG"/>
              </w:rPr>
            </w:pPr>
          </w:p>
          <w:p w14:paraId="78ABD312" w14:textId="77777777" w:rsidR="0076066D" w:rsidRPr="00F45E12" w:rsidRDefault="0076066D" w:rsidP="00442FD8">
            <w:pPr>
              <w:spacing w:line="360" w:lineRule="auto"/>
              <w:jc w:val="both"/>
              <w:rPr>
                <w:color w:val="222222"/>
                <w:lang w:val="bg-BG"/>
              </w:rPr>
            </w:pPr>
          </w:p>
          <w:p w14:paraId="72CD5624" w14:textId="77777777" w:rsidR="0076066D" w:rsidRPr="00F45E12" w:rsidRDefault="0076066D" w:rsidP="00442FD8">
            <w:pPr>
              <w:spacing w:line="360" w:lineRule="auto"/>
              <w:jc w:val="both"/>
              <w:rPr>
                <w:color w:val="222222"/>
                <w:lang w:val="bg-BG"/>
              </w:rPr>
            </w:pPr>
          </w:p>
        </w:tc>
      </w:tr>
    </w:tbl>
    <w:p w14:paraId="11E24E40" w14:textId="77777777" w:rsidR="0076066D" w:rsidRDefault="0076066D" w:rsidP="0076066D">
      <w:pPr>
        <w:spacing w:line="360" w:lineRule="auto"/>
        <w:jc w:val="both"/>
        <w:rPr>
          <w:b/>
          <w:lang w:val="bg-BG"/>
        </w:rPr>
      </w:pP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552"/>
        <w:gridCol w:w="850"/>
        <w:gridCol w:w="567"/>
        <w:gridCol w:w="567"/>
        <w:gridCol w:w="567"/>
        <w:gridCol w:w="571"/>
      </w:tblGrid>
      <w:tr w:rsidR="00B9132D" w:rsidRPr="0047332E" w14:paraId="7DA43EA9" w14:textId="77777777" w:rsidTr="00372E8E">
        <w:trPr>
          <w:trHeight w:val="210"/>
        </w:trPr>
        <w:tc>
          <w:tcPr>
            <w:tcW w:w="8046" w:type="dxa"/>
            <w:gridSpan w:val="5"/>
            <w:vMerge w:val="restart"/>
            <w:tcBorders>
              <w:top w:val="nil"/>
              <w:left w:val="nil"/>
              <w:bottom w:val="nil"/>
              <w:right w:val="nil"/>
            </w:tcBorders>
            <w:shd w:val="clear" w:color="auto" w:fill="auto"/>
          </w:tcPr>
          <w:p w14:paraId="31E0AC57" w14:textId="77777777" w:rsidR="00B9132D" w:rsidRPr="00524C1B" w:rsidRDefault="00B9132D" w:rsidP="00372E8E">
            <w:pPr>
              <w:spacing w:after="140" w:line="280" w:lineRule="exact"/>
              <w:rPr>
                <w:b/>
                <w:lang w:val="ru-RU"/>
              </w:rPr>
            </w:pPr>
            <w:r w:rsidRPr="00B6520E">
              <w:rPr>
                <w:b/>
                <w:lang w:val="bg-BG"/>
              </w:rPr>
              <w:t>Информацията съдържа чувствителна търговска информация</w:t>
            </w:r>
            <w:r w:rsidRPr="00524C1B">
              <w:rPr>
                <w:b/>
                <w:lang w:val="ru-RU"/>
              </w:rPr>
              <w:t xml:space="preserve"> (</w:t>
            </w:r>
            <w:r w:rsidRPr="00B6520E">
              <w:rPr>
                <w:b/>
                <w:lang w:val="bg-BG"/>
              </w:rPr>
              <w:t>отбележи с</w:t>
            </w:r>
            <w:r w:rsidRPr="00524C1B">
              <w:rPr>
                <w:b/>
                <w:lang w:val="ru-RU"/>
              </w:rPr>
              <w:t xml:space="preserve"> </w:t>
            </w:r>
            <w:r w:rsidRPr="0047332E">
              <w:rPr>
                <w:b/>
                <w:lang w:val="en-US"/>
              </w:rPr>
              <w:t>X</w:t>
            </w:r>
            <w:r w:rsidRPr="00524C1B">
              <w:rPr>
                <w:b/>
                <w:lang w:val="ru-RU"/>
              </w:rPr>
              <w:t>)</w:t>
            </w:r>
          </w:p>
        </w:tc>
        <w:tc>
          <w:tcPr>
            <w:tcW w:w="567" w:type="dxa"/>
            <w:tcBorders>
              <w:top w:val="nil"/>
              <w:left w:val="nil"/>
              <w:bottom w:val="nil"/>
            </w:tcBorders>
            <w:shd w:val="clear" w:color="auto" w:fill="auto"/>
          </w:tcPr>
          <w:p w14:paraId="13405D33" w14:textId="77777777" w:rsidR="00B9132D" w:rsidRPr="0047332E" w:rsidRDefault="00B9132D" w:rsidP="00372E8E">
            <w:pPr>
              <w:spacing w:after="140" w:line="280" w:lineRule="exact"/>
              <w:rPr>
                <w:rFonts w:ascii="Verdana" w:hAnsi="Verdana"/>
                <w:i/>
                <w:sz w:val="20"/>
                <w:szCs w:val="20"/>
                <w:lang w:val="bg-BG"/>
              </w:rPr>
            </w:pPr>
            <w:r w:rsidRPr="00B6520E">
              <w:rPr>
                <w:rFonts w:ascii="Verdana" w:hAnsi="Verdana"/>
                <w:i/>
                <w:sz w:val="20"/>
                <w:szCs w:val="20"/>
                <w:lang w:val="bg-BG"/>
              </w:rPr>
              <w:t>Да</w:t>
            </w:r>
          </w:p>
        </w:tc>
        <w:tc>
          <w:tcPr>
            <w:tcW w:w="571" w:type="dxa"/>
            <w:shd w:val="clear" w:color="auto" w:fill="auto"/>
          </w:tcPr>
          <w:p w14:paraId="27442DF8" w14:textId="77777777" w:rsidR="00B9132D" w:rsidRPr="0047332E" w:rsidRDefault="00B9132D" w:rsidP="00372E8E">
            <w:pPr>
              <w:spacing w:after="140" w:line="280" w:lineRule="exact"/>
              <w:rPr>
                <w:rFonts w:ascii="Verdana" w:hAnsi="Verdana"/>
                <w:i/>
                <w:sz w:val="20"/>
                <w:szCs w:val="20"/>
                <w:lang w:val="en-US"/>
              </w:rPr>
            </w:pPr>
          </w:p>
        </w:tc>
      </w:tr>
      <w:tr w:rsidR="00B9132D" w:rsidRPr="0047332E" w14:paraId="39014987" w14:textId="77777777" w:rsidTr="00372E8E">
        <w:trPr>
          <w:trHeight w:val="210"/>
        </w:trPr>
        <w:tc>
          <w:tcPr>
            <w:tcW w:w="8046" w:type="dxa"/>
            <w:gridSpan w:val="5"/>
            <w:vMerge/>
            <w:tcBorders>
              <w:top w:val="nil"/>
              <w:left w:val="nil"/>
              <w:bottom w:val="nil"/>
              <w:right w:val="nil"/>
            </w:tcBorders>
            <w:shd w:val="clear" w:color="auto" w:fill="auto"/>
          </w:tcPr>
          <w:p w14:paraId="2104C2BF" w14:textId="77777777" w:rsidR="00B9132D" w:rsidRPr="0047332E" w:rsidRDefault="00B9132D" w:rsidP="00372E8E">
            <w:pPr>
              <w:spacing w:after="140" w:line="280" w:lineRule="exact"/>
              <w:rPr>
                <w:rFonts w:ascii="Verdana" w:hAnsi="Verdana"/>
                <w:i/>
                <w:sz w:val="20"/>
                <w:szCs w:val="20"/>
                <w:lang w:val="en-US"/>
              </w:rPr>
            </w:pPr>
          </w:p>
        </w:tc>
        <w:tc>
          <w:tcPr>
            <w:tcW w:w="567" w:type="dxa"/>
            <w:tcBorders>
              <w:top w:val="nil"/>
              <w:left w:val="nil"/>
              <w:bottom w:val="nil"/>
            </w:tcBorders>
            <w:shd w:val="clear" w:color="auto" w:fill="auto"/>
          </w:tcPr>
          <w:p w14:paraId="4EAFDBD9" w14:textId="77777777" w:rsidR="00B9132D" w:rsidRPr="0047332E" w:rsidRDefault="00B9132D" w:rsidP="00372E8E">
            <w:pPr>
              <w:spacing w:after="140" w:line="280" w:lineRule="exact"/>
              <w:rPr>
                <w:rFonts w:ascii="Verdana" w:hAnsi="Verdana"/>
                <w:i/>
                <w:sz w:val="20"/>
                <w:szCs w:val="20"/>
                <w:lang w:val="bg-BG"/>
              </w:rPr>
            </w:pPr>
            <w:r w:rsidRPr="00B6520E">
              <w:rPr>
                <w:rFonts w:ascii="Verdana" w:hAnsi="Verdana"/>
                <w:i/>
                <w:sz w:val="20"/>
                <w:szCs w:val="20"/>
                <w:lang w:val="bg-BG"/>
              </w:rPr>
              <w:t>Не</w:t>
            </w:r>
          </w:p>
        </w:tc>
        <w:tc>
          <w:tcPr>
            <w:tcW w:w="571" w:type="dxa"/>
            <w:shd w:val="clear" w:color="auto" w:fill="auto"/>
          </w:tcPr>
          <w:p w14:paraId="4B91F217" w14:textId="77777777" w:rsidR="00B9132D" w:rsidRPr="0047332E" w:rsidRDefault="00B9132D" w:rsidP="00372E8E">
            <w:pPr>
              <w:spacing w:after="140" w:line="280" w:lineRule="exact"/>
              <w:rPr>
                <w:rFonts w:ascii="Verdana" w:hAnsi="Verdana"/>
                <w:i/>
                <w:sz w:val="20"/>
                <w:szCs w:val="20"/>
                <w:lang w:val="bg-BG"/>
              </w:rPr>
            </w:pPr>
          </w:p>
        </w:tc>
      </w:tr>
      <w:tr w:rsidR="00B9132D" w:rsidRPr="0047332E" w14:paraId="6478C438" w14:textId="77777777" w:rsidTr="00372E8E">
        <w:trPr>
          <w:gridAfter w:val="3"/>
          <w:wAfter w:w="1705" w:type="dxa"/>
          <w:trHeight w:val="210"/>
        </w:trPr>
        <w:tc>
          <w:tcPr>
            <w:tcW w:w="6062" w:type="dxa"/>
            <w:gridSpan w:val="2"/>
            <w:tcBorders>
              <w:top w:val="nil"/>
              <w:left w:val="nil"/>
              <w:bottom w:val="nil"/>
              <w:right w:val="nil"/>
            </w:tcBorders>
            <w:shd w:val="clear" w:color="auto" w:fill="auto"/>
          </w:tcPr>
          <w:p w14:paraId="016E8C79" w14:textId="77777777" w:rsidR="00B9132D" w:rsidRPr="00D15FC7" w:rsidRDefault="00B9132D" w:rsidP="00372E8E">
            <w:pPr>
              <w:spacing w:after="140" w:line="280" w:lineRule="exact"/>
              <w:rPr>
                <w:b/>
                <w:i/>
                <w:lang w:val="en-US"/>
              </w:rPr>
            </w:pPr>
            <w:r w:rsidRPr="00D15FC7">
              <w:rPr>
                <w:b/>
                <w:i/>
                <w:lang w:val="bg-BG"/>
              </w:rPr>
              <w:t>Ако е Да</w:t>
            </w:r>
            <w:r w:rsidRPr="00D15FC7">
              <w:rPr>
                <w:b/>
                <w:i/>
                <w:lang w:val="en-US"/>
              </w:rPr>
              <w:t>:</w:t>
            </w:r>
          </w:p>
        </w:tc>
        <w:tc>
          <w:tcPr>
            <w:tcW w:w="850" w:type="dxa"/>
            <w:tcBorders>
              <w:top w:val="nil"/>
              <w:left w:val="nil"/>
              <w:bottom w:val="nil"/>
              <w:right w:val="nil"/>
            </w:tcBorders>
            <w:shd w:val="clear" w:color="auto" w:fill="auto"/>
          </w:tcPr>
          <w:p w14:paraId="090FBBED" w14:textId="77777777" w:rsidR="00B9132D" w:rsidRPr="0047332E" w:rsidRDefault="00B9132D" w:rsidP="00372E8E">
            <w:pPr>
              <w:spacing w:after="140" w:line="280" w:lineRule="exact"/>
              <w:rPr>
                <w:rFonts w:ascii="Verdana" w:hAnsi="Verdana"/>
                <w:i/>
                <w:sz w:val="20"/>
                <w:szCs w:val="20"/>
                <w:lang w:val="en-US"/>
              </w:rPr>
            </w:pPr>
          </w:p>
        </w:tc>
        <w:tc>
          <w:tcPr>
            <w:tcW w:w="567" w:type="dxa"/>
            <w:tcBorders>
              <w:left w:val="nil"/>
              <w:right w:val="nil"/>
            </w:tcBorders>
            <w:shd w:val="clear" w:color="auto" w:fill="auto"/>
          </w:tcPr>
          <w:p w14:paraId="3BA92EE4" w14:textId="77777777" w:rsidR="00B9132D" w:rsidRPr="0047332E" w:rsidRDefault="00B9132D" w:rsidP="00372E8E">
            <w:pPr>
              <w:spacing w:after="140" w:line="280" w:lineRule="exact"/>
              <w:rPr>
                <w:rFonts w:ascii="Verdana" w:hAnsi="Verdana"/>
                <w:i/>
                <w:sz w:val="20"/>
                <w:szCs w:val="20"/>
                <w:lang w:val="en-US"/>
              </w:rPr>
            </w:pPr>
          </w:p>
        </w:tc>
      </w:tr>
      <w:tr w:rsidR="00B9132D" w:rsidRPr="0047332E" w14:paraId="7BA0ECF3" w14:textId="77777777" w:rsidTr="00372E8E">
        <w:trPr>
          <w:trHeight w:val="728"/>
        </w:trPr>
        <w:tc>
          <w:tcPr>
            <w:tcW w:w="3510" w:type="dxa"/>
            <w:tcBorders>
              <w:top w:val="nil"/>
              <w:left w:val="nil"/>
              <w:bottom w:val="nil"/>
              <w:right w:val="single" w:sz="4" w:space="0" w:color="auto"/>
            </w:tcBorders>
            <w:shd w:val="clear" w:color="auto" w:fill="auto"/>
          </w:tcPr>
          <w:p w14:paraId="080C8358" w14:textId="77777777" w:rsidR="00B9132D" w:rsidRPr="0047332E" w:rsidRDefault="00B9132D" w:rsidP="00372E8E">
            <w:pPr>
              <w:spacing w:after="140" w:line="280" w:lineRule="exact"/>
              <w:rPr>
                <w:lang w:val="bg-BG"/>
              </w:rPr>
            </w:pPr>
            <w:r w:rsidRPr="00B6520E">
              <w:rPr>
                <w:lang w:val="bg-BG"/>
              </w:rPr>
              <w:t>Чувствителна търговска информация</w:t>
            </w:r>
          </w:p>
        </w:tc>
        <w:tc>
          <w:tcPr>
            <w:tcW w:w="5674" w:type="dxa"/>
            <w:gridSpan w:val="6"/>
            <w:tcBorders>
              <w:left w:val="single" w:sz="4" w:space="0" w:color="auto"/>
            </w:tcBorders>
            <w:shd w:val="clear" w:color="auto" w:fill="auto"/>
          </w:tcPr>
          <w:p w14:paraId="63178921" w14:textId="77777777" w:rsidR="00B9132D" w:rsidRPr="00B6520E" w:rsidRDefault="00B9132D" w:rsidP="00372E8E">
            <w:pPr>
              <w:spacing w:after="140" w:line="280" w:lineRule="exact"/>
              <w:rPr>
                <w:rFonts w:ascii="Verdana" w:hAnsi="Verdana"/>
                <w:i/>
                <w:sz w:val="20"/>
                <w:szCs w:val="20"/>
                <w:lang w:val="bg-BG"/>
              </w:rPr>
            </w:pPr>
          </w:p>
          <w:p w14:paraId="18F49FBE" w14:textId="77777777" w:rsidR="00B9132D" w:rsidRPr="0047332E" w:rsidRDefault="00B9132D" w:rsidP="00372E8E">
            <w:pPr>
              <w:spacing w:after="140" w:line="280" w:lineRule="exact"/>
              <w:rPr>
                <w:rFonts w:ascii="Verdana" w:hAnsi="Verdana"/>
                <w:i/>
                <w:sz w:val="20"/>
                <w:szCs w:val="20"/>
                <w:lang w:val="bg-BG"/>
              </w:rPr>
            </w:pPr>
          </w:p>
        </w:tc>
      </w:tr>
      <w:tr w:rsidR="00B9132D" w:rsidRPr="00524C1B" w14:paraId="71CB4234" w14:textId="77777777" w:rsidTr="00372E8E">
        <w:trPr>
          <w:trHeight w:val="1136"/>
        </w:trPr>
        <w:tc>
          <w:tcPr>
            <w:tcW w:w="3510" w:type="dxa"/>
            <w:tcBorders>
              <w:top w:val="nil"/>
              <w:left w:val="nil"/>
              <w:bottom w:val="nil"/>
              <w:right w:val="single" w:sz="4" w:space="0" w:color="auto"/>
            </w:tcBorders>
            <w:shd w:val="clear" w:color="auto" w:fill="auto"/>
          </w:tcPr>
          <w:p w14:paraId="67AF1791" w14:textId="77777777" w:rsidR="00B9132D" w:rsidRPr="0047332E" w:rsidRDefault="00B9132D" w:rsidP="00372E8E">
            <w:pPr>
              <w:spacing w:after="140" w:line="280" w:lineRule="exact"/>
              <w:rPr>
                <w:lang w:val="bg-BG"/>
              </w:rPr>
            </w:pPr>
            <w:r w:rsidRPr="00B6520E">
              <w:rPr>
                <w:lang w:val="bg-BG"/>
              </w:rPr>
              <w:t>Основание за освобождаване от публикуване</w:t>
            </w:r>
            <w:r w:rsidRPr="00524C1B">
              <w:rPr>
                <w:lang w:val="ru-RU"/>
              </w:rPr>
              <w:t xml:space="preserve">  </w:t>
            </w:r>
          </w:p>
        </w:tc>
        <w:tc>
          <w:tcPr>
            <w:tcW w:w="5674" w:type="dxa"/>
            <w:gridSpan w:val="6"/>
            <w:tcBorders>
              <w:left w:val="single" w:sz="4" w:space="0" w:color="auto"/>
            </w:tcBorders>
            <w:shd w:val="clear" w:color="auto" w:fill="auto"/>
          </w:tcPr>
          <w:p w14:paraId="43280817" w14:textId="77777777" w:rsidR="00B9132D" w:rsidRPr="00524C1B" w:rsidRDefault="00B9132D" w:rsidP="00372E8E">
            <w:pPr>
              <w:spacing w:after="140" w:line="280" w:lineRule="exact"/>
              <w:rPr>
                <w:rFonts w:ascii="Verdana" w:hAnsi="Verdana"/>
                <w:i/>
                <w:sz w:val="20"/>
                <w:szCs w:val="20"/>
                <w:lang w:val="ru-RU"/>
              </w:rPr>
            </w:pPr>
          </w:p>
        </w:tc>
      </w:tr>
    </w:tbl>
    <w:p w14:paraId="1DB7BBA8" w14:textId="77777777" w:rsidR="00B9132D" w:rsidRPr="00F45E12" w:rsidRDefault="00B9132D" w:rsidP="0076066D">
      <w:pPr>
        <w:spacing w:line="360" w:lineRule="auto"/>
        <w:jc w:val="both"/>
        <w:rPr>
          <w:b/>
          <w:lang w:val="bg-BG"/>
        </w:rPr>
      </w:pPr>
    </w:p>
    <w:p w14:paraId="2CA6CBC3" w14:textId="77777777" w:rsidR="0076066D" w:rsidRDefault="0076066D" w:rsidP="0076066D">
      <w:pPr>
        <w:spacing w:line="360" w:lineRule="auto"/>
        <w:jc w:val="both"/>
        <w:rPr>
          <w:b/>
          <w:lang w:val="bg-BG"/>
        </w:rPr>
      </w:pPr>
    </w:p>
    <w:p w14:paraId="15E3C65E" w14:textId="77777777" w:rsidR="001F4531" w:rsidRPr="00F45E12" w:rsidRDefault="001F4531" w:rsidP="0076066D">
      <w:pPr>
        <w:spacing w:line="360" w:lineRule="auto"/>
        <w:jc w:val="both"/>
        <w:rPr>
          <w:b/>
          <w:lang w:val="bg-BG"/>
        </w:rPr>
      </w:pPr>
    </w:p>
    <w:p w14:paraId="5E3DC569" w14:textId="77777777" w:rsidR="0076066D" w:rsidRDefault="0076066D" w:rsidP="0076066D">
      <w:pPr>
        <w:spacing w:line="360" w:lineRule="auto"/>
        <w:jc w:val="both"/>
        <w:rPr>
          <w:b/>
          <w:lang w:val="bg-BG"/>
        </w:rPr>
      </w:pPr>
      <w:r w:rsidRPr="00F45E12">
        <w:rPr>
          <w:b/>
          <w:lang w:val="bg-BG"/>
        </w:rPr>
        <w:t>Дата:</w:t>
      </w:r>
      <w:r w:rsidRPr="00F45E12">
        <w:rPr>
          <w:b/>
          <w:lang w:val="bg-BG"/>
        </w:rPr>
        <w:tab/>
      </w:r>
      <w:r w:rsidRPr="00F45E12">
        <w:rPr>
          <w:b/>
          <w:lang w:val="bg-BG"/>
        </w:rPr>
        <w:tab/>
      </w:r>
      <w:r w:rsidRPr="00F45E12">
        <w:rPr>
          <w:b/>
          <w:lang w:val="bg-BG"/>
        </w:rPr>
        <w:tab/>
      </w:r>
      <w:r w:rsidRPr="00F45E12">
        <w:rPr>
          <w:b/>
          <w:lang w:val="bg-BG"/>
        </w:rPr>
        <w:tab/>
      </w:r>
      <w:r w:rsidRPr="00F45E12">
        <w:rPr>
          <w:b/>
          <w:lang w:val="bg-BG"/>
        </w:rPr>
        <w:tab/>
      </w:r>
      <w:r w:rsidRPr="00F45E12">
        <w:rPr>
          <w:b/>
          <w:lang w:val="bg-BG"/>
        </w:rPr>
        <w:tab/>
      </w:r>
      <w:r w:rsidRPr="00F45E12">
        <w:rPr>
          <w:b/>
          <w:lang w:val="bg-BG"/>
        </w:rPr>
        <w:tab/>
      </w:r>
      <w:r w:rsidRPr="00F45E12">
        <w:rPr>
          <w:b/>
          <w:lang w:val="bg-BG"/>
        </w:rPr>
        <w:tab/>
        <w:t>Подпис:</w:t>
      </w:r>
    </w:p>
    <w:sectPr w:rsidR="0076066D" w:rsidSect="00E759DE">
      <w:footerReference w:type="even" r:id="rId8"/>
      <w:footerReference w:type="default" r:id="rId9"/>
      <w:pgSz w:w="11906" w:h="16838"/>
      <w:pgMar w:top="964" w:right="1015" w:bottom="992"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26025" w14:textId="77777777" w:rsidR="000E58D2" w:rsidRDefault="000E58D2">
      <w:r>
        <w:separator/>
      </w:r>
    </w:p>
  </w:endnote>
  <w:endnote w:type="continuationSeparator" w:id="0">
    <w:p w14:paraId="207AA376" w14:textId="77777777" w:rsidR="000E58D2" w:rsidRDefault="000E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7EBA6" w14:textId="77777777" w:rsidR="00280B62" w:rsidRDefault="00280B62" w:rsidP="00B420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F80B95" w14:textId="77777777" w:rsidR="00280B62" w:rsidRDefault="00280B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2BDB8" w14:textId="16DC2FD0" w:rsidR="00280B62" w:rsidRDefault="00280B62" w:rsidP="00B420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3111">
      <w:rPr>
        <w:rStyle w:val="PageNumber"/>
        <w:noProof/>
      </w:rPr>
      <w:t>2</w:t>
    </w:r>
    <w:r>
      <w:rPr>
        <w:rStyle w:val="PageNumber"/>
      </w:rPr>
      <w:fldChar w:fldCharType="end"/>
    </w:r>
  </w:p>
  <w:p w14:paraId="5F34EC9F" w14:textId="77777777" w:rsidR="00280B62" w:rsidRDefault="00280B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17968" w14:textId="77777777" w:rsidR="000E58D2" w:rsidRDefault="000E58D2">
      <w:r>
        <w:separator/>
      </w:r>
    </w:p>
  </w:footnote>
  <w:footnote w:type="continuationSeparator" w:id="0">
    <w:p w14:paraId="1F976A61" w14:textId="77777777" w:rsidR="000E58D2" w:rsidRDefault="000E58D2">
      <w:r>
        <w:continuationSeparator/>
      </w:r>
    </w:p>
  </w:footnote>
  <w:footnote w:id="1">
    <w:p w14:paraId="2F08B0E7" w14:textId="77777777" w:rsidR="00DB47F8" w:rsidRPr="00F45E12" w:rsidRDefault="00DB47F8">
      <w:pPr>
        <w:pStyle w:val="FootnoteText"/>
        <w:rPr>
          <w:lang w:val="bg-BG"/>
        </w:rPr>
      </w:pPr>
      <w:r>
        <w:rPr>
          <w:rStyle w:val="FootnoteReference"/>
        </w:rPr>
        <w:footnoteRef/>
      </w:r>
      <w:r w:rsidRPr="00DB47F8">
        <w:rPr>
          <w:lang w:val="ru-RU"/>
        </w:rPr>
        <w:t xml:space="preserve"> </w:t>
      </w:r>
      <w:r w:rsidRPr="00F45E12">
        <w:rPr>
          <w:lang w:val="bg-BG"/>
        </w:rPr>
        <w:t>В случай че отговорът не е пълен, регулаторният орган може да отправи второ запитване за допълнителна информация</w:t>
      </w:r>
      <w:r w:rsidR="00A431CA">
        <w:rPr>
          <w:lang w:val="bg-BG"/>
        </w:rPr>
        <w:t>,</w:t>
      </w:r>
      <w:r w:rsidR="00F45E12" w:rsidRPr="00F45E12">
        <w:rPr>
          <w:lang w:val="bg-BG"/>
        </w:rPr>
        <w:t xml:space="preserve"> в рамките на </w:t>
      </w:r>
      <w:r w:rsidR="00340E91">
        <w:rPr>
          <w:lang w:val="bg-BG"/>
        </w:rPr>
        <w:t>разумно определен от него срок</w:t>
      </w:r>
      <w:r w:rsidR="00F45E12" w:rsidRPr="00F45E12">
        <w:rPr>
          <w:lang w:val="bg-BG"/>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5236E1"/>
    <w:multiLevelType w:val="hybridMultilevel"/>
    <w:tmpl w:val="AC92DA5A"/>
    <w:lvl w:ilvl="0" w:tplc="C72EC3E4">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62A"/>
    <w:rsid w:val="00011617"/>
    <w:rsid w:val="0002303C"/>
    <w:rsid w:val="00043006"/>
    <w:rsid w:val="000444B5"/>
    <w:rsid w:val="00047E5B"/>
    <w:rsid w:val="00056B6A"/>
    <w:rsid w:val="00064C42"/>
    <w:rsid w:val="000652C4"/>
    <w:rsid w:val="0007118E"/>
    <w:rsid w:val="0008038D"/>
    <w:rsid w:val="00096679"/>
    <w:rsid w:val="000A23D3"/>
    <w:rsid w:val="000A2B44"/>
    <w:rsid w:val="000A4EFE"/>
    <w:rsid w:val="000B65BF"/>
    <w:rsid w:val="000D0545"/>
    <w:rsid w:val="000D1075"/>
    <w:rsid w:val="000D75FA"/>
    <w:rsid w:val="000E58D2"/>
    <w:rsid w:val="000E652A"/>
    <w:rsid w:val="000F2922"/>
    <w:rsid w:val="000F5DE9"/>
    <w:rsid w:val="00101FB6"/>
    <w:rsid w:val="00103031"/>
    <w:rsid w:val="00104EEA"/>
    <w:rsid w:val="00131A41"/>
    <w:rsid w:val="00135905"/>
    <w:rsid w:val="001360BA"/>
    <w:rsid w:val="0013773F"/>
    <w:rsid w:val="00137C8E"/>
    <w:rsid w:val="001453D1"/>
    <w:rsid w:val="00152F36"/>
    <w:rsid w:val="00167825"/>
    <w:rsid w:val="0017662A"/>
    <w:rsid w:val="001770B6"/>
    <w:rsid w:val="00181A06"/>
    <w:rsid w:val="0019107E"/>
    <w:rsid w:val="00197AD5"/>
    <w:rsid w:val="001A617E"/>
    <w:rsid w:val="001B1690"/>
    <w:rsid w:val="001C1CF8"/>
    <w:rsid w:val="001C4693"/>
    <w:rsid w:val="001C4CDE"/>
    <w:rsid w:val="001D29C5"/>
    <w:rsid w:val="001D3FAE"/>
    <w:rsid w:val="001F2055"/>
    <w:rsid w:val="001F4531"/>
    <w:rsid w:val="00203888"/>
    <w:rsid w:val="002203C1"/>
    <w:rsid w:val="00223478"/>
    <w:rsid w:val="00232E2C"/>
    <w:rsid w:val="00242EE9"/>
    <w:rsid w:val="00243149"/>
    <w:rsid w:val="002470C4"/>
    <w:rsid w:val="00254D9E"/>
    <w:rsid w:val="002552BD"/>
    <w:rsid w:val="00257BBA"/>
    <w:rsid w:val="00264454"/>
    <w:rsid w:val="00280B62"/>
    <w:rsid w:val="00292858"/>
    <w:rsid w:val="002A3750"/>
    <w:rsid w:val="002C7FC7"/>
    <w:rsid w:val="002D4293"/>
    <w:rsid w:val="002D45E5"/>
    <w:rsid w:val="002E1430"/>
    <w:rsid w:val="002E18FF"/>
    <w:rsid w:val="002F72F4"/>
    <w:rsid w:val="00300FF4"/>
    <w:rsid w:val="003055F1"/>
    <w:rsid w:val="003059F0"/>
    <w:rsid w:val="00307EF8"/>
    <w:rsid w:val="00323B0D"/>
    <w:rsid w:val="00335398"/>
    <w:rsid w:val="00340E91"/>
    <w:rsid w:val="003561DD"/>
    <w:rsid w:val="003650E1"/>
    <w:rsid w:val="00372E8E"/>
    <w:rsid w:val="00386E0A"/>
    <w:rsid w:val="00396A40"/>
    <w:rsid w:val="00396FE6"/>
    <w:rsid w:val="003B3478"/>
    <w:rsid w:val="003D245A"/>
    <w:rsid w:val="003F2BC3"/>
    <w:rsid w:val="003F31FA"/>
    <w:rsid w:val="00412F3A"/>
    <w:rsid w:val="00414EBB"/>
    <w:rsid w:val="004152F6"/>
    <w:rsid w:val="00442FD8"/>
    <w:rsid w:val="00451B15"/>
    <w:rsid w:val="00451B20"/>
    <w:rsid w:val="00461897"/>
    <w:rsid w:val="00464AB9"/>
    <w:rsid w:val="004671A7"/>
    <w:rsid w:val="00484C77"/>
    <w:rsid w:val="004A2F18"/>
    <w:rsid w:val="004A41EE"/>
    <w:rsid w:val="004C4AAF"/>
    <w:rsid w:val="004D1067"/>
    <w:rsid w:val="004F471A"/>
    <w:rsid w:val="004F5486"/>
    <w:rsid w:val="00516A58"/>
    <w:rsid w:val="00524C1B"/>
    <w:rsid w:val="00534E2C"/>
    <w:rsid w:val="00537D82"/>
    <w:rsid w:val="00542652"/>
    <w:rsid w:val="00566DFA"/>
    <w:rsid w:val="005779FC"/>
    <w:rsid w:val="00582FAF"/>
    <w:rsid w:val="00584DF8"/>
    <w:rsid w:val="005B795C"/>
    <w:rsid w:val="005C11A2"/>
    <w:rsid w:val="005C6552"/>
    <w:rsid w:val="005D1B8A"/>
    <w:rsid w:val="005E02A7"/>
    <w:rsid w:val="005E4F17"/>
    <w:rsid w:val="0060735D"/>
    <w:rsid w:val="006150E9"/>
    <w:rsid w:val="0063326E"/>
    <w:rsid w:val="0065208B"/>
    <w:rsid w:val="0065442F"/>
    <w:rsid w:val="006569FC"/>
    <w:rsid w:val="00666710"/>
    <w:rsid w:val="00677206"/>
    <w:rsid w:val="00691222"/>
    <w:rsid w:val="0069254E"/>
    <w:rsid w:val="0069641C"/>
    <w:rsid w:val="006A59C3"/>
    <w:rsid w:val="006B0BF4"/>
    <w:rsid w:val="006C7573"/>
    <w:rsid w:val="006C7CA7"/>
    <w:rsid w:val="006E2F6F"/>
    <w:rsid w:val="006F6A4F"/>
    <w:rsid w:val="0070375C"/>
    <w:rsid w:val="00706A7E"/>
    <w:rsid w:val="00706E2E"/>
    <w:rsid w:val="00711F7C"/>
    <w:rsid w:val="00712FE2"/>
    <w:rsid w:val="00713691"/>
    <w:rsid w:val="00726EB2"/>
    <w:rsid w:val="007314DA"/>
    <w:rsid w:val="0073607A"/>
    <w:rsid w:val="007521E0"/>
    <w:rsid w:val="0076066D"/>
    <w:rsid w:val="007647F9"/>
    <w:rsid w:val="00786B2C"/>
    <w:rsid w:val="00797D4E"/>
    <w:rsid w:val="007A09A5"/>
    <w:rsid w:val="007B1F34"/>
    <w:rsid w:val="007B2DF4"/>
    <w:rsid w:val="007C293C"/>
    <w:rsid w:val="007C4F18"/>
    <w:rsid w:val="007E262F"/>
    <w:rsid w:val="007E2CD5"/>
    <w:rsid w:val="007F14D2"/>
    <w:rsid w:val="007F242F"/>
    <w:rsid w:val="007F31E1"/>
    <w:rsid w:val="00813EFA"/>
    <w:rsid w:val="0084625D"/>
    <w:rsid w:val="00861878"/>
    <w:rsid w:val="00861A28"/>
    <w:rsid w:val="00863AD5"/>
    <w:rsid w:val="008807ED"/>
    <w:rsid w:val="008A604D"/>
    <w:rsid w:val="008B083B"/>
    <w:rsid w:val="008B142E"/>
    <w:rsid w:val="008C1A97"/>
    <w:rsid w:val="008C49C2"/>
    <w:rsid w:val="008D40C4"/>
    <w:rsid w:val="008D64C4"/>
    <w:rsid w:val="008E352D"/>
    <w:rsid w:val="008F2C06"/>
    <w:rsid w:val="008F305A"/>
    <w:rsid w:val="00911097"/>
    <w:rsid w:val="00914526"/>
    <w:rsid w:val="00914A08"/>
    <w:rsid w:val="009434C4"/>
    <w:rsid w:val="0095115C"/>
    <w:rsid w:val="009738C6"/>
    <w:rsid w:val="00997AE4"/>
    <w:rsid w:val="009B0C10"/>
    <w:rsid w:val="009E5F93"/>
    <w:rsid w:val="00A2657D"/>
    <w:rsid w:val="00A3258E"/>
    <w:rsid w:val="00A431CA"/>
    <w:rsid w:val="00A53125"/>
    <w:rsid w:val="00A802B1"/>
    <w:rsid w:val="00A81D89"/>
    <w:rsid w:val="00A85DAF"/>
    <w:rsid w:val="00A93284"/>
    <w:rsid w:val="00AC4A52"/>
    <w:rsid w:val="00AF1732"/>
    <w:rsid w:val="00B05C57"/>
    <w:rsid w:val="00B360A3"/>
    <w:rsid w:val="00B420AD"/>
    <w:rsid w:val="00B42183"/>
    <w:rsid w:val="00B718BF"/>
    <w:rsid w:val="00B84884"/>
    <w:rsid w:val="00B9132D"/>
    <w:rsid w:val="00B97288"/>
    <w:rsid w:val="00BB71A0"/>
    <w:rsid w:val="00BC268D"/>
    <w:rsid w:val="00BC5580"/>
    <w:rsid w:val="00BD1088"/>
    <w:rsid w:val="00BD3E7D"/>
    <w:rsid w:val="00BD4150"/>
    <w:rsid w:val="00BD4998"/>
    <w:rsid w:val="00BD6500"/>
    <w:rsid w:val="00BE3ABD"/>
    <w:rsid w:val="00BE4164"/>
    <w:rsid w:val="00C12B0A"/>
    <w:rsid w:val="00C12D48"/>
    <w:rsid w:val="00C1406E"/>
    <w:rsid w:val="00C16A88"/>
    <w:rsid w:val="00C33546"/>
    <w:rsid w:val="00C436F8"/>
    <w:rsid w:val="00C66FC8"/>
    <w:rsid w:val="00C73B74"/>
    <w:rsid w:val="00C83B6A"/>
    <w:rsid w:val="00C87F10"/>
    <w:rsid w:val="00CB2FEA"/>
    <w:rsid w:val="00CB7F72"/>
    <w:rsid w:val="00CC1A86"/>
    <w:rsid w:val="00CC1FCE"/>
    <w:rsid w:val="00CD0D31"/>
    <w:rsid w:val="00CD36B3"/>
    <w:rsid w:val="00CE4CEF"/>
    <w:rsid w:val="00CF5BEB"/>
    <w:rsid w:val="00CF65DF"/>
    <w:rsid w:val="00D009F8"/>
    <w:rsid w:val="00D00D71"/>
    <w:rsid w:val="00D0414B"/>
    <w:rsid w:val="00D07F2B"/>
    <w:rsid w:val="00D15FC7"/>
    <w:rsid w:val="00D32B9E"/>
    <w:rsid w:val="00D35A8A"/>
    <w:rsid w:val="00D36922"/>
    <w:rsid w:val="00D36AFF"/>
    <w:rsid w:val="00D4107A"/>
    <w:rsid w:val="00D5606A"/>
    <w:rsid w:val="00D60CA3"/>
    <w:rsid w:val="00D82597"/>
    <w:rsid w:val="00D8732F"/>
    <w:rsid w:val="00D963D3"/>
    <w:rsid w:val="00DA3111"/>
    <w:rsid w:val="00DA41B1"/>
    <w:rsid w:val="00DB47F8"/>
    <w:rsid w:val="00DC1F3E"/>
    <w:rsid w:val="00DC2FC9"/>
    <w:rsid w:val="00DC4AC9"/>
    <w:rsid w:val="00DD156D"/>
    <w:rsid w:val="00DD5FB5"/>
    <w:rsid w:val="00DE6EFE"/>
    <w:rsid w:val="00DF38F5"/>
    <w:rsid w:val="00E00AA4"/>
    <w:rsid w:val="00E014D2"/>
    <w:rsid w:val="00E046E7"/>
    <w:rsid w:val="00E069EF"/>
    <w:rsid w:val="00E06BB9"/>
    <w:rsid w:val="00E34D5B"/>
    <w:rsid w:val="00E47DF7"/>
    <w:rsid w:val="00E53C23"/>
    <w:rsid w:val="00E65CB4"/>
    <w:rsid w:val="00E73B03"/>
    <w:rsid w:val="00E74635"/>
    <w:rsid w:val="00E759DE"/>
    <w:rsid w:val="00E836A5"/>
    <w:rsid w:val="00EC41F9"/>
    <w:rsid w:val="00EE324A"/>
    <w:rsid w:val="00EE4722"/>
    <w:rsid w:val="00EF74EA"/>
    <w:rsid w:val="00F0783E"/>
    <w:rsid w:val="00F17137"/>
    <w:rsid w:val="00F36456"/>
    <w:rsid w:val="00F41404"/>
    <w:rsid w:val="00F45E12"/>
    <w:rsid w:val="00F4764B"/>
    <w:rsid w:val="00F52531"/>
    <w:rsid w:val="00F607DA"/>
    <w:rsid w:val="00F6695C"/>
    <w:rsid w:val="00F74766"/>
    <w:rsid w:val="00F864D4"/>
    <w:rsid w:val="00F92F67"/>
    <w:rsid w:val="00FB485F"/>
    <w:rsid w:val="00FD1CD6"/>
    <w:rsid w:val="00FE32D2"/>
    <w:rsid w:val="00FF1414"/>
    <w:rsid w:val="00FF2612"/>
    <w:rsid w:val="00FF2823"/>
    <w:rsid w:val="00FF4A2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2001D7"/>
  <w15:docId w15:val="{4AA75A34-7FE3-4566-8D6E-79FE36A06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4DA"/>
    <w:rPr>
      <w:sz w:val="24"/>
      <w:szCs w:val="24"/>
      <w:lang w:val="en-GB" w:eastAsia="en-GB"/>
    </w:rPr>
  </w:style>
  <w:style w:type="paragraph" w:styleId="Heading5">
    <w:name w:val="heading 5"/>
    <w:basedOn w:val="Normal"/>
    <w:next w:val="Normal"/>
    <w:qFormat/>
    <w:rsid w:val="00103031"/>
    <w:pPr>
      <w:keepNext/>
      <w:outlineLvl w:val="4"/>
    </w:pPr>
    <w:rPr>
      <w:i/>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662A"/>
    <w:pPr>
      <w:tabs>
        <w:tab w:val="center" w:pos="4536"/>
        <w:tab w:val="right" w:pos="9072"/>
      </w:tabs>
    </w:pPr>
  </w:style>
  <w:style w:type="character" w:styleId="PageNumber">
    <w:name w:val="page number"/>
    <w:basedOn w:val="DefaultParagraphFont"/>
    <w:rsid w:val="0017662A"/>
  </w:style>
  <w:style w:type="paragraph" w:styleId="FootnoteText">
    <w:name w:val="footnote text"/>
    <w:basedOn w:val="Normal"/>
    <w:semiHidden/>
    <w:rsid w:val="009B0C10"/>
    <w:rPr>
      <w:sz w:val="20"/>
      <w:szCs w:val="20"/>
    </w:rPr>
  </w:style>
  <w:style w:type="character" w:styleId="FootnoteReference">
    <w:name w:val="footnote reference"/>
    <w:semiHidden/>
    <w:rsid w:val="009B0C10"/>
    <w:rPr>
      <w:vertAlign w:val="superscript"/>
    </w:rPr>
  </w:style>
  <w:style w:type="character" w:styleId="Hyperlink">
    <w:name w:val="Hyperlink"/>
    <w:rsid w:val="003561DD"/>
    <w:rPr>
      <w:color w:val="0000FF"/>
      <w:u w:val="single"/>
    </w:rPr>
  </w:style>
  <w:style w:type="paragraph" w:customStyle="1" w:styleId="CharCharCharChar">
    <w:name w:val="Char Char Char Char"/>
    <w:basedOn w:val="Normal"/>
    <w:rsid w:val="00103031"/>
    <w:pPr>
      <w:tabs>
        <w:tab w:val="left" w:pos="709"/>
      </w:tabs>
    </w:pPr>
    <w:rPr>
      <w:rFonts w:ascii="Tahoma" w:hAnsi="Tahoma"/>
      <w:lang w:val="pl-PL" w:eastAsia="pl-PL"/>
    </w:rPr>
  </w:style>
  <w:style w:type="paragraph" w:customStyle="1" w:styleId="Default">
    <w:name w:val="Default"/>
    <w:rsid w:val="008E352D"/>
    <w:pPr>
      <w:autoSpaceDE w:val="0"/>
      <w:autoSpaceDN w:val="0"/>
      <w:adjustRightInd w:val="0"/>
    </w:pPr>
    <w:rPr>
      <w:color w:val="000000"/>
      <w:sz w:val="24"/>
      <w:szCs w:val="24"/>
      <w:lang w:val="en-US" w:eastAsia="en-US"/>
    </w:rPr>
  </w:style>
  <w:style w:type="table" w:styleId="TableGrid">
    <w:name w:val="Table Grid"/>
    <w:basedOn w:val="TableNormal"/>
    <w:rsid w:val="00713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5115C"/>
    <w:rPr>
      <w:color w:val="800080"/>
      <w:u w:val="single"/>
    </w:rPr>
  </w:style>
  <w:style w:type="character" w:styleId="CommentReference">
    <w:name w:val="annotation reference"/>
    <w:rsid w:val="003650E1"/>
    <w:rPr>
      <w:sz w:val="16"/>
      <w:szCs w:val="16"/>
    </w:rPr>
  </w:style>
  <w:style w:type="paragraph" w:styleId="CommentText">
    <w:name w:val="annotation text"/>
    <w:basedOn w:val="Normal"/>
    <w:link w:val="CommentTextChar"/>
    <w:rsid w:val="003650E1"/>
    <w:rPr>
      <w:sz w:val="20"/>
      <w:szCs w:val="20"/>
    </w:rPr>
  </w:style>
  <w:style w:type="character" w:customStyle="1" w:styleId="CommentTextChar">
    <w:name w:val="Comment Text Char"/>
    <w:link w:val="CommentText"/>
    <w:rsid w:val="003650E1"/>
    <w:rPr>
      <w:lang w:val="en-GB" w:eastAsia="en-GB"/>
    </w:rPr>
  </w:style>
  <w:style w:type="paragraph" w:styleId="CommentSubject">
    <w:name w:val="annotation subject"/>
    <w:basedOn w:val="CommentText"/>
    <w:next w:val="CommentText"/>
    <w:link w:val="CommentSubjectChar"/>
    <w:rsid w:val="003650E1"/>
    <w:rPr>
      <w:b/>
      <w:bCs/>
    </w:rPr>
  </w:style>
  <w:style w:type="character" w:customStyle="1" w:styleId="CommentSubjectChar">
    <w:name w:val="Comment Subject Char"/>
    <w:link w:val="CommentSubject"/>
    <w:rsid w:val="003650E1"/>
    <w:rPr>
      <w:b/>
      <w:bCs/>
      <w:lang w:val="en-GB" w:eastAsia="en-GB"/>
    </w:rPr>
  </w:style>
  <w:style w:type="paragraph" w:styleId="BalloonText">
    <w:name w:val="Balloon Text"/>
    <w:basedOn w:val="Normal"/>
    <w:link w:val="BalloonTextChar"/>
    <w:rsid w:val="003650E1"/>
    <w:rPr>
      <w:rFonts w:ascii="Tahoma" w:hAnsi="Tahoma" w:cs="Tahoma"/>
      <w:sz w:val="16"/>
      <w:szCs w:val="16"/>
    </w:rPr>
  </w:style>
  <w:style w:type="character" w:customStyle="1" w:styleId="BalloonTextChar">
    <w:name w:val="Balloon Text Char"/>
    <w:link w:val="BalloonText"/>
    <w:rsid w:val="003650E1"/>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46D75-0236-4FAB-A6D4-974889511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2366</Characters>
  <Application>Microsoft Office Word</Application>
  <DocSecurity>0</DocSecurity>
  <Lines>19</Lines>
  <Paragraphs>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ПРАВА НА ПЪТНИЦИТЕ, ПОЛЗВАЩИ ЖЕЛЕЗОПЪТЕН ТРАНСПОРТ</vt:lpstr>
      <vt:lpstr>ПРАВА НА ПЪТНИЦИТЕ, ПОЛЗВАЩИ ЖЕЛЕЗОПЪТЕН ТРАНСПОРТ</vt:lpstr>
    </vt:vector>
  </TitlesOfParts>
  <Company>MT</Company>
  <LinksUpToDate>false</LinksUpToDate>
  <CharactersWithSpaces>2776</CharactersWithSpaces>
  <SharedDoc>false</SharedDoc>
  <HLinks>
    <vt:vector size="6" baseType="variant">
      <vt:variant>
        <vt:i4>6684688</vt:i4>
      </vt:variant>
      <vt:variant>
        <vt:i4>0</vt:i4>
      </vt:variant>
      <vt:variant>
        <vt:i4>0</vt:i4>
      </vt:variant>
      <vt:variant>
        <vt:i4>5</vt:i4>
      </vt:variant>
      <vt:variant>
        <vt:lpwstr>http://www.iaja.government.bg/IAJI/wwwFWRAEA.nsf/f8c6e36331ccea9d0025728b005cd1fd/b26d8b1e33cbf5efc225742e001961fe/$FILE/Regalment 869_2014.pdf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ПРАВА НА ПЪТНИЦИТЕ, ПОЛЗВАЩИ ЖЕЛЕЗОПЪТЕН ТРАНСПОРТ</dc:title>
  <dc:creator>JPopova</dc:creator>
  <cp:lastModifiedBy>Kalinka Velikova</cp:lastModifiedBy>
  <cp:revision>2</cp:revision>
  <cp:lastPrinted>2023-11-30T07:19:00Z</cp:lastPrinted>
  <dcterms:created xsi:type="dcterms:W3CDTF">2023-12-19T08:09:00Z</dcterms:created>
  <dcterms:modified xsi:type="dcterms:W3CDTF">2023-12-19T08:09:00Z</dcterms:modified>
</cp:coreProperties>
</file>